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A0" w:firstRow="1" w:lastRow="0" w:firstColumn="1" w:lastColumn="0" w:noHBand="0" w:noVBand="0"/>
      </w:tblPr>
      <w:tblGrid>
        <w:gridCol w:w="3510"/>
        <w:gridCol w:w="3118"/>
        <w:gridCol w:w="2376"/>
      </w:tblGrid>
      <w:tr w:rsidR="00F32BF1" w:rsidRPr="00D336A6" w14:paraId="49D72018" w14:textId="77777777" w:rsidTr="00921CAA">
        <w:trPr>
          <w:cantSplit/>
          <w:trHeight w:val="175"/>
        </w:trPr>
        <w:tc>
          <w:tcPr>
            <w:tcW w:w="3510" w:type="dxa"/>
            <w:vMerge w:val="restart"/>
          </w:tcPr>
          <w:p w14:paraId="0503CA40" w14:textId="77777777" w:rsidR="00F32BF1" w:rsidRPr="00F32BF1" w:rsidRDefault="00F32BF1" w:rsidP="00921CAA">
            <w:pPr>
              <w:autoSpaceDE w:val="0"/>
              <w:autoSpaceDN w:val="0"/>
              <w:adjustRightInd w:val="0"/>
              <w:spacing w:before="120" w:after="0" w:line="240" w:lineRule="auto"/>
              <w:jc w:val="both"/>
              <w:rPr>
                <w:rFonts w:ascii="Arial" w:hAnsi="Arial"/>
                <w:b/>
                <w:snapToGrid w:val="0"/>
                <w:color w:val="808080"/>
                <w:sz w:val="14"/>
                <w:szCs w:val="24"/>
                <w:lang w:val="nl-NL"/>
              </w:rPr>
            </w:pPr>
            <w:r w:rsidRPr="00F32BF1">
              <w:rPr>
                <w:rFonts w:ascii="Arial" w:hAnsi="Arial"/>
                <w:b/>
                <w:snapToGrid w:val="0"/>
                <w:color w:val="808080"/>
                <w:sz w:val="14"/>
                <w:szCs w:val="24"/>
                <w:lang w:val="nl-NL"/>
              </w:rPr>
              <w:t>VERDRAG INZAKE DE VERZAMELING,</w:t>
            </w:r>
          </w:p>
          <w:p w14:paraId="7D72ADD9" w14:textId="77777777" w:rsidR="00F32BF1" w:rsidRPr="00F32BF1" w:rsidRDefault="00F32BF1" w:rsidP="00921CAA">
            <w:pPr>
              <w:autoSpaceDE w:val="0"/>
              <w:autoSpaceDN w:val="0"/>
              <w:adjustRightInd w:val="0"/>
              <w:spacing w:after="0" w:line="240" w:lineRule="auto"/>
              <w:jc w:val="both"/>
              <w:rPr>
                <w:rFonts w:ascii="Arial" w:hAnsi="Arial"/>
                <w:b/>
                <w:snapToGrid w:val="0"/>
                <w:color w:val="808080"/>
                <w:sz w:val="14"/>
                <w:szCs w:val="24"/>
                <w:lang w:val="nl-NL"/>
              </w:rPr>
            </w:pPr>
            <w:r w:rsidRPr="00F32BF1">
              <w:rPr>
                <w:rFonts w:ascii="Arial" w:hAnsi="Arial"/>
                <w:b/>
                <w:snapToGrid w:val="0"/>
                <w:color w:val="808080"/>
                <w:sz w:val="14"/>
                <w:szCs w:val="24"/>
                <w:lang w:val="nl-NL"/>
              </w:rPr>
              <w:t>AFGIFTE EN INNAME VAN AFVAL</w:t>
            </w:r>
          </w:p>
          <w:p w14:paraId="33844B4E" w14:textId="77777777" w:rsidR="00F32BF1" w:rsidRPr="00F32BF1" w:rsidRDefault="00F32BF1" w:rsidP="00921CAA">
            <w:pPr>
              <w:autoSpaceDE w:val="0"/>
              <w:autoSpaceDN w:val="0"/>
              <w:adjustRightInd w:val="0"/>
              <w:spacing w:after="0" w:line="240" w:lineRule="auto"/>
              <w:jc w:val="both"/>
              <w:rPr>
                <w:rFonts w:ascii="Arial" w:hAnsi="Arial"/>
                <w:b/>
                <w:snapToGrid w:val="0"/>
                <w:color w:val="808080"/>
                <w:sz w:val="14"/>
                <w:szCs w:val="24"/>
                <w:highlight w:val="yellow"/>
                <w:lang w:val="nl-NL"/>
              </w:rPr>
            </w:pPr>
            <w:r w:rsidRPr="00F32BF1">
              <w:rPr>
                <w:rFonts w:ascii="Arial" w:hAnsi="Arial"/>
                <w:b/>
                <w:snapToGrid w:val="0"/>
                <w:color w:val="808080"/>
                <w:sz w:val="14"/>
                <w:szCs w:val="24"/>
                <w:lang w:val="nl-NL"/>
              </w:rPr>
              <w:t>IN DE RIJN- EN BINNENVAART</w:t>
            </w:r>
          </w:p>
        </w:tc>
        <w:tc>
          <w:tcPr>
            <w:tcW w:w="3118" w:type="dxa"/>
            <w:vMerge w:val="restart"/>
          </w:tcPr>
          <w:p w14:paraId="7549B158" w14:textId="77777777" w:rsidR="00F32BF1" w:rsidRPr="00F32BF1" w:rsidRDefault="00F32BF1" w:rsidP="00921CAA">
            <w:pPr>
              <w:spacing w:after="0" w:line="220" w:lineRule="atLeast"/>
              <w:jc w:val="both"/>
              <w:rPr>
                <w:rFonts w:ascii="Arial" w:hAnsi="Arial" w:cs="Arial"/>
                <w:sz w:val="20"/>
                <w:szCs w:val="20"/>
                <w:lang w:val="nl-NL"/>
              </w:rPr>
            </w:pPr>
            <w:r w:rsidRPr="00F32BF1">
              <w:rPr>
                <w:rFonts w:ascii="Arial" w:hAnsi="Arial" w:cs="Arial"/>
                <w:noProof/>
                <w:sz w:val="20"/>
                <w:szCs w:val="20"/>
                <w:lang w:val="nl-NL" w:eastAsia="nl-NL"/>
              </w:rPr>
              <w:drawing>
                <wp:inline distT="0" distB="0" distL="0" distR="0" wp14:anchorId="60682B1C" wp14:editId="174AB248">
                  <wp:extent cx="1009650" cy="4387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438785"/>
                          </a:xfrm>
                          <a:prstGeom prst="rect">
                            <a:avLst/>
                          </a:prstGeom>
                          <a:noFill/>
                          <a:ln>
                            <a:noFill/>
                          </a:ln>
                        </pic:spPr>
                      </pic:pic>
                    </a:graphicData>
                  </a:graphic>
                </wp:inline>
              </w:drawing>
            </w:r>
          </w:p>
        </w:tc>
        <w:tc>
          <w:tcPr>
            <w:tcW w:w="2376" w:type="dxa"/>
          </w:tcPr>
          <w:p w14:paraId="27257E26" w14:textId="5C1C11AA" w:rsidR="00F32BF1" w:rsidRPr="005E618A" w:rsidRDefault="00F32BF1" w:rsidP="00921CAA">
            <w:pPr>
              <w:tabs>
                <w:tab w:val="left" w:pos="6521"/>
              </w:tabs>
              <w:autoSpaceDE w:val="0"/>
              <w:autoSpaceDN w:val="0"/>
              <w:adjustRightInd w:val="0"/>
              <w:spacing w:after="0" w:line="220" w:lineRule="atLeast"/>
              <w:jc w:val="both"/>
              <w:rPr>
                <w:rFonts w:ascii="Arial" w:hAnsi="Arial"/>
                <w:sz w:val="20"/>
                <w:lang w:val="en-US"/>
              </w:rPr>
            </w:pPr>
            <w:r w:rsidRPr="005E618A">
              <w:rPr>
                <w:rFonts w:ascii="Arial" w:hAnsi="Arial"/>
                <w:sz w:val="20"/>
                <w:lang w:val="en-US"/>
              </w:rPr>
              <w:t>CPC (20) 20</w:t>
            </w:r>
            <w:r w:rsidR="00D336A6" w:rsidRPr="005E618A">
              <w:rPr>
                <w:rFonts w:ascii="Arial" w:hAnsi="Arial"/>
                <w:sz w:val="20"/>
                <w:lang w:val="en-US"/>
              </w:rPr>
              <w:t xml:space="preserve"> </w:t>
            </w:r>
            <w:r w:rsidR="0080437D">
              <w:rPr>
                <w:rFonts w:ascii="Arial" w:hAnsi="Arial"/>
                <w:sz w:val="20"/>
                <w:lang w:val="en-US"/>
              </w:rPr>
              <w:t>def.</w:t>
            </w:r>
          </w:p>
          <w:p w14:paraId="646530F9" w14:textId="3BDE93DB" w:rsidR="00F32BF1" w:rsidRPr="005E618A" w:rsidRDefault="00F32BF1" w:rsidP="00921CAA">
            <w:pPr>
              <w:tabs>
                <w:tab w:val="left" w:pos="6521"/>
              </w:tabs>
              <w:autoSpaceDE w:val="0"/>
              <w:autoSpaceDN w:val="0"/>
              <w:adjustRightInd w:val="0"/>
              <w:spacing w:after="0" w:line="220" w:lineRule="atLeast"/>
              <w:jc w:val="both"/>
              <w:rPr>
                <w:rFonts w:ascii="Arial" w:hAnsi="Arial" w:cs="Arial"/>
                <w:snapToGrid w:val="0"/>
                <w:sz w:val="20"/>
                <w:szCs w:val="20"/>
                <w:lang w:val="en-US"/>
              </w:rPr>
            </w:pPr>
            <w:r w:rsidRPr="005E618A">
              <w:rPr>
                <w:rFonts w:ascii="Arial" w:hAnsi="Arial" w:cs="Arial"/>
                <w:snapToGrid w:val="0"/>
                <w:sz w:val="20"/>
                <w:szCs w:val="20"/>
                <w:lang w:val="en-US"/>
              </w:rPr>
              <w:t>IIPC (20) 17</w:t>
            </w:r>
            <w:r w:rsidR="00D336A6" w:rsidRPr="005E618A">
              <w:rPr>
                <w:rFonts w:ascii="Arial" w:hAnsi="Arial" w:cs="Arial"/>
                <w:snapToGrid w:val="0"/>
                <w:sz w:val="20"/>
                <w:szCs w:val="20"/>
                <w:lang w:val="en-US"/>
              </w:rPr>
              <w:t xml:space="preserve"> </w:t>
            </w:r>
            <w:r w:rsidR="0080437D">
              <w:rPr>
                <w:rFonts w:ascii="Arial" w:hAnsi="Arial" w:cs="Arial"/>
                <w:snapToGrid w:val="0"/>
                <w:sz w:val="20"/>
                <w:szCs w:val="20"/>
                <w:lang w:val="en-US"/>
              </w:rPr>
              <w:t>def.</w:t>
            </w:r>
          </w:p>
          <w:p w14:paraId="1914B101" w14:textId="64DAFE04" w:rsidR="00F32BF1" w:rsidRPr="005E618A" w:rsidRDefault="00F32BF1" w:rsidP="00921CAA">
            <w:pPr>
              <w:tabs>
                <w:tab w:val="left" w:pos="6521"/>
              </w:tabs>
              <w:autoSpaceDE w:val="0"/>
              <w:autoSpaceDN w:val="0"/>
              <w:adjustRightInd w:val="0"/>
              <w:spacing w:after="0" w:line="220" w:lineRule="atLeast"/>
              <w:jc w:val="both"/>
              <w:rPr>
                <w:rFonts w:ascii="Arial" w:hAnsi="Arial" w:cs="Arial"/>
                <w:snapToGrid w:val="0"/>
                <w:sz w:val="20"/>
                <w:szCs w:val="20"/>
                <w:lang w:val="en-US"/>
              </w:rPr>
            </w:pPr>
            <w:r w:rsidRPr="005E618A">
              <w:rPr>
                <w:rFonts w:ascii="Arial" w:hAnsi="Arial" w:cs="Arial"/>
                <w:snapToGrid w:val="0"/>
                <w:sz w:val="20"/>
                <w:szCs w:val="20"/>
                <w:lang w:val="en-US"/>
              </w:rPr>
              <w:t>CDNI/G (20) 27</w:t>
            </w:r>
            <w:r w:rsidR="00D336A6" w:rsidRPr="005E618A">
              <w:rPr>
                <w:rFonts w:ascii="Arial" w:hAnsi="Arial" w:cs="Arial"/>
                <w:snapToGrid w:val="0"/>
                <w:sz w:val="20"/>
                <w:szCs w:val="20"/>
                <w:lang w:val="en-US"/>
              </w:rPr>
              <w:t xml:space="preserve"> </w:t>
            </w:r>
            <w:r w:rsidR="0080437D">
              <w:rPr>
                <w:rFonts w:ascii="Arial" w:hAnsi="Arial" w:cs="Arial"/>
                <w:snapToGrid w:val="0"/>
                <w:sz w:val="20"/>
                <w:szCs w:val="20"/>
                <w:lang w:val="en-GB"/>
              </w:rPr>
              <w:t>def.</w:t>
            </w:r>
          </w:p>
        </w:tc>
      </w:tr>
      <w:tr w:rsidR="00F32BF1" w:rsidRPr="00F32BF1" w14:paraId="136FCE05" w14:textId="77777777" w:rsidTr="00921CAA">
        <w:trPr>
          <w:cantSplit/>
        </w:trPr>
        <w:tc>
          <w:tcPr>
            <w:tcW w:w="3510" w:type="dxa"/>
            <w:vMerge/>
          </w:tcPr>
          <w:p w14:paraId="5CF7236A" w14:textId="77777777" w:rsidR="00F32BF1" w:rsidRPr="005E618A" w:rsidRDefault="00F32BF1" w:rsidP="00921CAA">
            <w:pPr>
              <w:spacing w:after="0" w:line="220" w:lineRule="atLeast"/>
              <w:jc w:val="both"/>
              <w:rPr>
                <w:rFonts w:ascii="Arial" w:hAnsi="Arial"/>
                <w:sz w:val="20"/>
                <w:lang w:val="en-US"/>
              </w:rPr>
            </w:pPr>
          </w:p>
        </w:tc>
        <w:tc>
          <w:tcPr>
            <w:tcW w:w="3118" w:type="dxa"/>
            <w:vMerge/>
          </w:tcPr>
          <w:p w14:paraId="10168C87" w14:textId="77777777" w:rsidR="00F32BF1" w:rsidRPr="005E618A" w:rsidRDefault="00F32BF1" w:rsidP="00921CAA">
            <w:pPr>
              <w:spacing w:after="0" w:line="220" w:lineRule="atLeast"/>
              <w:jc w:val="both"/>
              <w:rPr>
                <w:rFonts w:ascii="Arial" w:hAnsi="Arial"/>
                <w:sz w:val="20"/>
                <w:lang w:val="en-US"/>
              </w:rPr>
            </w:pPr>
          </w:p>
        </w:tc>
        <w:tc>
          <w:tcPr>
            <w:tcW w:w="2376" w:type="dxa"/>
          </w:tcPr>
          <w:p w14:paraId="4C19C38D" w14:textId="4FB4CAB3" w:rsidR="00F32BF1" w:rsidRPr="00F32BF1" w:rsidRDefault="0080437D" w:rsidP="00921CAA">
            <w:pPr>
              <w:tabs>
                <w:tab w:val="left" w:pos="6521"/>
              </w:tabs>
              <w:autoSpaceDE w:val="0"/>
              <w:autoSpaceDN w:val="0"/>
              <w:adjustRightInd w:val="0"/>
              <w:spacing w:after="0" w:line="220" w:lineRule="atLeast"/>
              <w:jc w:val="both"/>
              <w:rPr>
                <w:rFonts w:ascii="Arial" w:hAnsi="Arial" w:cs="Arial"/>
                <w:snapToGrid w:val="0"/>
                <w:sz w:val="20"/>
                <w:szCs w:val="20"/>
                <w:lang w:val="nl-NL"/>
              </w:rPr>
            </w:pPr>
            <w:r>
              <w:rPr>
                <w:rFonts w:ascii="Arial" w:hAnsi="Arial" w:cs="Arial"/>
                <w:snapToGrid w:val="0"/>
                <w:sz w:val="20"/>
                <w:szCs w:val="20"/>
                <w:lang w:val="nl-NL"/>
              </w:rPr>
              <w:t>2</w:t>
            </w:r>
            <w:r w:rsidR="00D336A6">
              <w:rPr>
                <w:rFonts w:ascii="Arial" w:hAnsi="Arial" w:cs="Arial"/>
                <w:snapToGrid w:val="0"/>
                <w:sz w:val="20"/>
                <w:szCs w:val="20"/>
                <w:lang w:val="nl-NL"/>
              </w:rPr>
              <w:t xml:space="preserve"> juli</w:t>
            </w:r>
            <w:r w:rsidR="00F32BF1" w:rsidRPr="00F32BF1">
              <w:rPr>
                <w:rFonts w:ascii="Arial" w:hAnsi="Arial" w:cs="Arial"/>
                <w:snapToGrid w:val="0"/>
                <w:sz w:val="20"/>
                <w:szCs w:val="20"/>
                <w:lang w:val="nl-NL"/>
              </w:rPr>
              <w:t xml:space="preserve"> 2020</w:t>
            </w:r>
          </w:p>
        </w:tc>
      </w:tr>
      <w:tr w:rsidR="00F32BF1" w:rsidRPr="00F32BF1" w14:paraId="6035CFFC" w14:textId="77777777" w:rsidTr="00921CAA">
        <w:trPr>
          <w:cantSplit/>
        </w:trPr>
        <w:tc>
          <w:tcPr>
            <w:tcW w:w="3510" w:type="dxa"/>
            <w:vMerge/>
          </w:tcPr>
          <w:p w14:paraId="433F4878" w14:textId="77777777" w:rsidR="00F32BF1" w:rsidRPr="00F32BF1" w:rsidRDefault="00F32BF1" w:rsidP="00921CAA">
            <w:pPr>
              <w:spacing w:after="0" w:line="220" w:lineRule="atLeast"/>
              <w:jc w:val="both"/>
              <w:rPr>
                <w:rFonts w:ascii="Arial" w:hAnsi="Arial" w:cs="Arial"/>
                <w:sz w:val="20"/>
                <w:szCs w:val="20"/>
                <w:lang w:val="nl-NL"/>
              </w:rPr>
            </w:pPr>
          </w:p>
        </w:tc>
        <w:tc>
          <w:tcPr>
            <w:tcW w:w="3118" w:type="dxa"/>
            <w:vMerge/>
          </w:tcPr>
          <w:p w14:paraId="6DCBF557" w14:textId="77777777" w:rsidR="00F32BF1" w:rsidRPr="00F32BF1" w:rsidRDefault="00F32BF1" w:rsidP="00921CAA">
            <w:pPr>
              <w:spacing w:after="0" w:line="220" w:lineRule="atLeast"/>
              <w:jc w:val="both"/>
              <w:rPr>
                <w:rFonts w:ascii="Arial" w:hAnsi="Arial" w:cs="Arial"/>
                <w:sz w:val="20"/>
                <w:szCs w:val="20"/>
                <w:lang w:val="nl-NL"/>
              </w:rPr>
            </w:pPr>
          </w:p>
        </w:tc>
        <w:tc>
          <w:tcPr>
            <w:tcW w:w="2376" w:type="dxa"/>
          </w:tcPr>
          <w:p w14:paraId="448FEAF7" w14:textId="77777777" w:rsidR="00F32BF1" w:rsidRPr="00714244" w:rsidRDefault="00F32BF1" w:rsidP="00921CAA">
            <w:pPr>
              <w:autoSpaceDE w:val="0"/>
              <w:autoSpaceDN w:val="0"/>
              <w:adjustRightInd w:val="0"/>
              <w:spacing w:after="0" w:line="220" w:lineRule="atLeast"/>
              <w:jc w:val="both"/>
              <w:rPr>
                <w:rFonts w:ascii="Arial" w:hAnsi="Arial" w:cs="Arial"/>
                <w:snapToGrid w:val="0"/>
                <w:sz w:val="16"/>
                <w:szCs w:val="16"/>
              </w:rPr>
            </w:pPr>
            <w:r w:rsidRPr="00714244">
              <w:rPr>
                <w:rFonts w:ascii="Arial" w:hAnsi="Arial" w:cs="Arial"/>
                <w:snapToGrid w:val="0"/>
                <w:sz w:val="16"/>
                <w:szCs w:val="16"/>
              </w:rPr>
              <w:t xml:space="preserve">Or. </w:t>
            </w:r>
            <w:proofErr w:type="spellStart"/>
            <w:proofErr w:type="gramStart"/>
            <w:r w:rsidRPr="00714244">
              <w:rPr>
                <w:rFonts w:ascii="Arial" w:hAnsi="Arial" w:cs="Arial"/>
                <w:snapToGrid w:val="0"/>
                <w:sz w:val="16"/>
                <w:szCs w:val="16"/>
              </w:rPr>
              <w:t>fr</w:t>
            </w:r>
            <w:proofErr w:type="spellEnd"/>
            <w:proofErr w:type="gramEnd"/>
            <w:r w:rsidRPr="00714244">
              <w:rPr>
                <w:rFonts w:ascii="Arial" w:hAnsi="Arial" w:cs="Arial"/>
                <w:snapToGrid w:val="0"/>
                <w:sz w:val="16"/>
                <w:szCs w:val="16"/>
              </w:rPr>
              <w:t xml:space="preserve">   </w:t>
            </w:r>
            <w:proofErr w:type="spellStart"/>
            <w:r w:rsidRPr="00714244">
              <w:rPr>
                <w:rFonts w:ascii="Arial" w:hAnsi="Arial" w:cs="Arial"/>
                <w:snapToGrid w:val="0"/>
                <w:sz w:val="16"/>
                <w:szCs w:val="16"/>
              </w:rPr>
              <w:t>fr</w:t>
            </w:r>
            <w:proofErr w:type="spellEnd"/>
            <w:r w:rsidRPr="00714244">
              <w:rPr>
                <w:rFonts w:ascii="Arial" w:hAnsi="Arial" w:cs="Arial"/>
                <w:snapToGrid w:val="0"/>
                <w:sz w:val="16"/>
                <w:szCs w:val="16"/>
              </w:rPr>
              <w:t>/de/</w:t>
            </w:r>
            <w:proofErr w:type="spellStart"/>
            <w:r w:rsidRPr="00714244">
              <w:rPr>
                <w:rFonts w:ascii="Arial" w:hAnsi="Arial" w:cs="Arial"/>
                <w:snapToGrid w:val="0"/>
                <w:sz w:val="16"/>
                <w:szCs w:val="16"/>
              </w:rPr>
              <w:t>nl</w:t>
            </w:r>
            <w:proofErr w:type="spellEnd"/>
          </w:p>
        </w:tc>
      </w:tr>
    </w:tbl>
    <w:p w14:paraId="0B78D09D" w14:textId="77777777" w:rsidR="00F32BF1" w:rsidRPr="00714244" w:rsidRDefault="00F32BF1" w:rsidP="00F32BF1">
      <w:pPr>
        <w:tabs>
          <w:tab w:val="left" w:pos="3260"/>
          <w:tab w:val="left" w:pos="6521"/>
        </w:tabs>
        <w:spacing w:after="0" w:line="220" w:lineRule="atLeast"/>
        <w:jc w:val="both"/>
        <w:rPr>
          <w:rFonts w:ascii="Arial" w:hAnsi="Arial" w:cs="Arial"/>
          <w:sz w:val="20"/>
          <w:szCs w:val="20"/>
        </w:rPr>
      </w:pPr>
    </w:p>
    <w:p w14:paraId="34E7D740" w14:textId="77777777" w:rsidR="00F32BF1" w:rsidRPr="00F32BF1" w:rsidRDefault="00F32BF1" w:rsidP="00F32BF1">
      <w:pPr>
        <w:spacing w:after="0" w:line="240" w:lineRule="auto"/>
        <w:ind w:left="5103"/>
        <w:rPr>
          <w:rFonts w:ascii="Arial" w:eastAsia="Batang" w:hAnsi="Arial" w:cs="Arial"/>
          <w:sz w:val="16"/>
          <w:szCs w:val="20"/>
          <w:lang w:val="nl-NL"/>
        </w:rPr>
      </w:pPr>
      <w:r w:rsidRPr="00F32BF1">
        <w:rPr>
          <w:rFonts w:ascii="Arial" w:eastAsia="Batang" w:hAnsi="Arial" w:cs="Arial"/>
          <w:sz w:val="16"/>
          <w:szCs w:val="20"/>
          <w:lang w:val="nl-NL"/>
        </w:rPr>
        <w:t>CONFERENTIE DER VERDRAGSLUITENDE PARTIJEN</w:t>
      </w:r>
    </w:p>
    <w:p w14:paraId="3D397F47" w14:textId="77777777" w:rsidR="00F32BF1" w:rsidRPr="00F32BF1" w:rsidRDefault="00F32BF1" w:rsidP="00F32BF1">
      <w:pPr>
        <w:spacing w:after="0" w:line="240" w:lineRule="auto"/>
        <w:ind w:left="5103"/>
        <w:rPr>
          <w:rFonts w:ascii="Arial" w:eastAsia="Batang" w:hAnsi="Arial" w:cs="Arial"/>
          <w:sz w:val="16"/>
          <w:szCs w:val="20"/>
          <w:lang w:val="nl-NL"/>
        </w:rPr>
      </w:pPr>
      <w:r w:rsidRPr="00F32BF1">
        <w:rPr>
          <w:rFonts w:ascii="Arial" w:eastAsia="Batang" w:hAnsi="Arial" w:cs="Arial"/>
          <w:sz w:val="16"/>
          <w:szCs w:val="20"/>
          <w:lang w:val="nl-NL"/>
        </w:rPr>
        <w:t>INTERNATIONAAL VEREVENINGS- EN COÖRDINATIEORGAAN</w:t>
      </w:r>
    </w:p>
    <w:p w14:paraId="61D49624" w14:textId="77777777" w:rsidR="00F32BF1" w:rsidRPr="00F32BF1" w:rsidRDefault="00F32BF1" w:rsidP="00F32BF1">
      <w:pPr>
        <w:spacing w:after="0" w:line="240" w:lineRule="auto"/>
        <w:ind w:left="5103"/>
        <w:rPr>
          <w:rFonts w:ascii="Arial" w:eastAsia="Batang" w:hAnsi="Arial" w:cs="Arial"/>
          <w:sz w:val="16"/>
          <w:szCs w:val="20"/>
          <w:lang w:val="nl-NL"/>
        </w:rPr>
      </w:pPr>
      <w:r w:rsidRPr="00F32BF1">
        <w:rPr>
          <w:rFonts w:ascii="Arial" w:eastAsia="Batang" w:hAnsi="Arial" w:cs="Arial"/>
          <w:sz w:val="16"/>
          <w:szCs w:val="20"/>
          <w:lang w:val="nl-NL"/>
        </w:rPr>
        <w:t>WERKGROEP CDNI</w:t>
      </w:r>
    </w:p>
    <w:p w14:paraId="3390CAA1" w14:textId="77777777" w:rsidR="00F32BF1" w:rsidRPr="00F32BF1" w:rsidRDefault="00F32BF1" w:rsidP="00F32BF1">
      <w:pPr>
        <w:spacing w:after="0" w:line="240" w:lineRule="auto"/>
        <w:ind w:left="5103"/>
        <w:rPr>
          <w:rFonts w:ascii="Arial" w:eastAsia="Batang" w:hAnsi="Arial" w:cs="Arial"/>
          <w:sz w:val="16"/>
          <w:szCs w:val="20"/>
          <w:lang w:val="nl-NL"/>
        </w:rPr>
      </w:pPr>
    </w:p>
    <w:p w14:paraId="54BA5D60" w14:textId="77777777" w:rsidR="00F32BF1" w:rsidRPr="00F32BF1" w:rsidRDefault="00F32BF1" w:rsidP="00F32BF1">
      <w:pPr>
        <w:tabs>
          <w:tab w:val="left" w:pos="5670"/>
        </w:tabs>
        <w:autoSpaceDE w:val="0"/>
        <w:autoSpaceDN w:val="0"/>
        <w:adjustRightInd w:val="0"/>
        <w:spacing w:before="60" w:after="0" w:line="240" w:lineRule="auto"/>
        <w:ind w:right="-2258"/>
        <w:outlineLvl w:val="0"/>
        <w:rPr>
          <w:rFonts w:ascii="Arial" w:eastAsia="MS Mincho" w:hAnsi="Arial" w:cs="Arial"/>
          <w:snapToGrid w:val="0"/>
          <w:sz w:val="20"/>
          <w:szCs w:val="20"/>
          <w:lang w:val="nl-NL"/>
        </w:rPr>
      </w:pPr>
    </w:p>
    <w:p w14:paraId="0C9D1261"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Deel A</w:t>
      </w:r>
    </w:p>
    <w:p w14:paraId="00D6D94D" w14:textId="1CE9B3ED"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 xml:space="preserve">Verhoging van de verwijderingsbijdrage tot 8,50 euro </w:t>
      </w:r>
      <w:r w:rsidR="00714244">
        <w:rPr>
          <w:rFonts w:ascii="Arial" w:eastAsia="MS Mincho" w:hAnsi="Arial" w:cs="Arial"/>
          <w:b/>
          <w:lang w:val="nl-NL"/>
        </w:rPr>
        <w:t>met ingang van</w:t>
      </w:r>
      <w:r w:rsidRPr="00F32BF1">
        <w:rPr>
          <w:rFonts w:ascii="Arial" w:eastAsia="MS Mincho" w:hAnsi="Arial" w:cs="Arial"/>
          <w:b/>
          <w:lang w:val="nl-NL"/>
        </w:rPr>
        <w:t xml:space="preserve"> 1</w:t>
      </w:r>
      <w:r w:rsidR="00714244">
        <w:rPr>
          <w:rFonts w:ascii="Arial" w:eastAsia="MS Mincho" w:hAnsi="Arial" w:cs="Arial"/>
          <w:b/>
          <w:lang w:val="nl-NL"/>
        </w:rPr>
        <w:t> </w:t>
      </w:r>
      <w:r w:rsidRPr="00F32BF1">
        <w:rPr>
          <w:rFonts w:ascii="Arial" w:eastAsia="MS Mincho" w:hAnsi="Arial" w:cs="Arial"/>
          <w:b/>
          <w:lang w:val="nl-NL"/>
        </w:rPr>
        <w:t>januari 2021</w:t>
      </w:r>
    </w:p>
    <w:p w14:paraId="4D5B0C14"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Wijziging van artikel 3.03 van de Uitvoeringsregeling</w:t>
      </w:r>
    </w:p>
    <w:p w14:paraId="38EB4272" w14:textId="7F733E1A" w:rsidR="00F32BF1" w:rsidRPr="00F32BF1" w:rsidRDefault="004C6171" w:rsidP="00F32BF1">
      <w:pPr>
        <w:autoSpaceDE w:val="0"/>
        <w:autoSpaceDN w:val="0"/>
        <w:adjustRightInd w:val="0"/>
        <w:spacing w:after="0" w:line="220" w:lineRule="atLeast"/>
        <w:jc w:val="center"/>
        <w:rPr>
          <w:rFonts w:ascii="Arial" w:hAnsi="Arial" w:cs="Arial"/>
          <w:b/>
          <w:lang w:val="nl-NL"/>
        </w:rPr>
      </w:pPr>
      <w:r>
        <w:rPr>
          <w:rFonts w:ascii="Arial" w:eastAsia="MS Mincho" w:hAnsi="Arial" w:cs="Arial"/>
          <w:b/>
          <w:lang w:val="nl-NL"/>
        </w:rPr>
        <w:t>B</w:t>
      </w:r>
      <w:r w:rsidR="00F32BF1" w:rsidRPr="00F32BF1">
        <w:rPr>
          <w:rFonts w:ascii="Arial" w:eastAsia="MS Mincho" w:hAnsi="Arial" w:cs="Arial"/>
          <w:b/>
          <w:lang w:val="nl-NL"/>
        </w:rPr>
        <w:t>esluit</w:t>
      </w:r>
    </w:p>
    <w:p w14:paraId="3460D2ED" w14:textId="77777777" w:rsidR="00F32BF1" w:rsidRPr="00F32BF1" w:rsidRDefault="00F32BF1" w:rsidP="00F32BF1">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lang w:val="nl-NL"/>
        </w:rPr>
      </w:pPr>
    </w:p>
    <w:p w14:paraId="01889AD4" w14:textId="77777777" w:rsidR="00F32BF1" w:rsidRPr="00F32BF1" w:rsidRDefault="00F32BF1" w:rsidP="00F32BF1">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lang w:val="nl-NL"/>
        </w:rPr>
      </w:pPr>
    </w:p>
    <w:p w14:paraId="70A86A7D" w14:textId="77777777" w:rsidR="00F32BF1" w:rsidRPr="00F32BF1" w:rsidRDefault="00F32BF1" w:rsidP="00F32BF1">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lang w:val="nl-NL"/>
        </w:rPr>
      </w:pPr>
      <w:r w:rsidRPr="00F32BF1">
        <w:rPr>
          <w:rFonts w:ascii="Arial" w:eastAsia="MS Mincho" w:hAnsi="Arial" w:cs="Arial"/>
          <w:snapToGrid w:val="0"/>
          <w:sz w:val="20"/>
          <w:szCs w:val="20"/>
          <w:lang w:val="nl-NL"/>
        </w:rPr>
        <w:t>Mededeling van het secretariaat</w:t>
      </w:r>
    </w:p>
    <w:p w14:paraId="080A3573" w14:textId="77777777" w:rsidR="00F32BF1" w:rsidRPr="00F32BF1" w:rsidRDefault="00F32BF1" w:rsidP="00F32BF1">
      <w:pPr>
        <w:spacing w:after="0" w:line="240" w:lineRule="auto"/>
        <w:jc w:val="both"/>
        <w:rPr>
          <w:rFonts w:ascii="Arial" w:eastAsia="MS Mincho" w:hAnsi="Arial" w:cs="Arial"/>
          <w:sz w:val="20"/>
          <w:szCs w:val="20"/>
          <w:lang w:val="nl-NL"/>
        </w:rPr>
      </w:pPr>
    </w:p>
    <w:p w14:paraId="0AB13B59" w14:textId="2DF3DB3E" w:rsidR="00F32BF1" w:rsidRDefault="00F32BF1" w:rsidP="00F32BF1">
      <w:pPr>
        <w:spacing w:after="0" w:line="240" w:lineRule="auto"/>
        <w:jc w:val="both"/>
        <w:rPr>
          <w:rFonts w:ascii="Arial" w:eastAsia="MS Mincho" w:hAnsi="Arial" w:cs="Arial"/>
          <w:sz w:val="20"/>
          <w:szCs w:val="20"/>
          <w:lang w:val="nl-NL"/>
        </w:rPr>
      </w:pPr>
      <w:r w:rsidRPr="00F32BF1">
        <w:rPr>
          <w:rFonts w:ascii="Arial" w:eastAsia="MS Mincho" w:hAnsi="Arial" w:cs="Arial"/>
          <w:sz w:val="20"/>
          <w:szCs w:val="20"/>
          <w:lang w:val="nl-NL"/>
        </w:rPr>
        <w:t xml:space="preserve">De Conferentie der Verdragsluitende Partijen heeft </w:t>
      </w:r>
      <w:r w:rsidR="00714244">
        <w:rPr>
          <w:rFonts w:ascii="Arial" w:eastAsia="MS Mincho" w:hAnsi="Arial" w:cs="Arial"/>
          <w:sz w:val="20"/>
          <w:szCs w:val="20"/>
          <w:lang w:val="nl-NL"/>
        </w:rPr>
        <w:t xml:space="preserve">tijdens </w:t>
      </w:r>
      <w:r w:rsidRPr="00F32BF1">
        <w:rPr>
          <w:rFonts w:ascii="Arial" w:eastAsia="MS Mincho" w:hAnsi="Arial" w:cs="Arial"/>
          <w:sz w:val="20"/>
          <w:szCs w:val="20"/>
          <w:lang w:val="nl-NL"/>
        </w:rPr>
        <w:t xml:space="preserve">haar vergadering op 18 december 2019 besloten het tarief van de verwijderingsbijdrage </w:t>
      </w:r>
      <w:r w:rsidR="00714244" w:rsidRPr="00F32BF1">
        <w:rPr>
          <w:rFonts w:ascii="Arial" w:eastAsia="MS Mincho" w:hAnsi="Arial" w:cs="Arial"/>
          <w:sz w:val="20"/>
          <w:szCs w:val="20"/>
          <w:lang w:val="nl-NL"/>
        </w:rPr>
        <w:t>in 2020</w:t>
      </w:r>
      <w:r w:rsidRPr="00F32BF1">
        <w:rPr>
          <w:rFonts w:ascii="Arial" w:eastAsia="MS Mincho" w:hAnsi="Arial" w:cs="Arial"/>
          <w:sz w:val="20"/>
          <w:szCs w:val="20"/>
          <w:lang w:val="nl-NL"/>
        </w:rPr>
        <w:t xml:space="preserve"> </w:t>
      </w:r>
      <w:r w:rsidR="00714244" w:rsidRPr="00F32BF1">
        <w:rPr>
          <w:rFonts w:ascii="Arial" w:eastAsia="MS Mincho" w:hAnsi="Arial" w:cs="Arial"/>
          <w:sz w:val="20"/>
          <w:szCs w:val="20"/>
          <w:lang w:val="nl-NL"/>
        </w:rPr>
        <w:t xml:space="preserve">te handhaven </w:t>
      </w:r>
      <w:r w:rsidR="00714244">
        <w:rPr>
          <w:rFonts w:ascii="Arial" w:eastAsia="MS Mincho" w:hAnsi="Arial" w:cs="Arial"/>
          <w:sz w:val="20"/>
          <w:szCs w:val="20"/>
          <w:lang w:val="nl-NL"/>
        </w:rPr>
        <w:t xml:space="preserve">op </w:t>
      </w:r>
      <w:r w:rsidRPr="00F32BF1">
        <w:rPr>
          <w:rFonts w:ascii="Arial" w:eastAsia="MS Mincho" w:hAnsi="Arial" w:cs="Arial"/>
          <w:sz w:val="20"/>
          <w:szCs w:val="20"/>
          <w:lang w:val="nl-NL"/>
        </w:rPr>
        <w:t>7,50 euro per 1</w:t>
      </w:r>
      <w:r w:rsidR="006C3389">
        <w:rPr>
          <w:rFonts w:ascii="Arial" w:eastAsia="MS Mincho" w:hAnsi="Arial" w:cs="Arial"/>
          <w:sz w:val="20"/>
          <w:szCs w:val="20"/>
          <w:lang w:val="nl-NL"/>
        </w:rPr>
        <w:t xml:space="preserve"> </w:t>
      </w:r>
      <w:r w:rsidRPr="00F32BF1">
        <w:rPr>
          <w:rFonts w:ascii="Arial" w:eastAsia="MS Mincho" w:hAnsi="Arial" w:cs="Arial"/>
          <w:sz w:val="20"/>
          <w:szCs w:val="20"/>
          <w:lang w:val="nl-NL"/>
        </w:rPr>
        <w:t>000 l</w:t>
      </w:r>
      <w:r w:rsidR="002B73E3">
        <w:rPr>
          <w:rFonts w:ascii="Arial" w:eastAsia="MS Mincho" w:hAnsi="Arial" w:cs="Arial"/>
          <w:sz w:val="20"/>
          <w:szCs w:val="20"/>
          <w:lang w:val="nl-NL"/>
        </w:rPr>
        <w:t>iter</w:t>
      </w:r>
      <w:r w:rsidRPr="00F32BF1">
        <w:rPr>
          <w:rFonts w:ascii="Arial" w:eastAsia="MS Mincho" w:hAnsi="Arial" w:cs="Arial"/>
          <w:sz w:val="20"/>
          <w:szCs w:val="20"/>
          <w:lang w:val="nl-NL"/>
        </w:rPr>
        <w:t xml:space="preserve"> accijnsvrije gasolie.</w:t>
      </w:r>
    </w:p>
    <w:p w14:paraId="7F2EB828" w14:textId="0800F4DD" w:rsidR="005E618A" w:rsidRPr="00F32BF1" w:rsidRDefault="005E618A" w:rsidP="00F32BF1">
      <w:pPr>
        <w:spacing w:after="0" w:line="240" w:lineRule="auto"/>
        <w:jc w:val="both"/>
        <w:rPr>
          <w:rFonts w:ascii="Arial" w:eastAsia="MS Mincho" w:hAnsi="Arial" w:cs="Arial"/>
          <w:sz w:val="20"/>
          <w:szCs w:val="20"/>
          <w:lang w:val="nl-NL"/>
        </w:rPr>
      </w:pPr>
      <w:r>
        <w:rPr>
          <w:rFonts w:ascii="Arial" w:eastAsia="MS Mincho" w:hAnsi="Arial" w:cs="Arial"/>
          <w:sz w:val="20"/>
          <w:szCs w:val="20"/>
          <w:lang w:val="nl-NL"/>
        </w:rPr>
        <w:t xml:space="preserve">In 2019 heeft het IVC een analyse gemaakt van de in de afgelopen jaren ontvangen verwijderingsbijdragen en de kosten van de inzameling in het beheersgebied van het CDNI. In de eerste jaren na het van kracht worden van het verdrag waren de </w:t>
      </w:r>
      <w:r w:rsidR="003E0087">
        <w:rPr>
          <w:rFonts w:ascii="Arial" w:eastAsia="MS Mincho" w:hAnsi="Arial" w:cs="Arial"/>
          <w:sz w:val="20"/>
          <w:szCs w:val="20"/>
          <w:lang w:val="nl-NL"/>
        </w:rPr>
        <w:t>opbrengsten</w:t>
      </w:r>
      <w:r>
        <w:rPr>
          <w:rFonts w:ascii="Arial" w:eastAsia="MS Mincho" w:hAnsi="Arial" w:cs="Arial"/>
          <w:sz w:val="20"/>
          <w:szCs w:val="20"/>
          <w:lang w:val="nl-NL"/>
        </w:rPr>
        <w:t xml:space="preserve"> hoger dan de kosten. De ontwikkeling van de afgelopen jaren laat echter zien dat het opgebouwde overschot langzaam maar zeker is verminderd en dat vanaf 2021 een tekort zal kunnen ontstaan. Daarom heeft het IVC geadviseerd de verwijderingsbijdrage te verhogen.</w:t>
      </w:r>
    </w:p>
    <w:p w14:paraId="4C3E6C25" w14:textId="707787DC" w:rsidR="00F32BF1" w:rsidRDefault="00F32BF1" w:rsidP="00F32BF1">
      <w:pPr>
        <w:spacing w:after="0" w:line="240" w:lineRule="auto"/>
        <w:jc w:val="both"/>
        <w:rPr>
          <w:rFonts w:ascii="Arial" w:eastAsia="MS Mincho" w:hAnsi="Arial" w:cs="Arial"/>
          <w:sz w:val="20"/>
          <w:szCs w:val="20"/>
          <w:lang w:val="nl-NL"/>
        </w:rPr>
      </w:pPr>
      <w:r w:rsidRPr="00F32BF1">
        <w:rPr>
          <w:rFonts w:ascii="Arial" w:eastAsia="MS Mincho" w:hAnsi="Arial" w:cs="Arial"/>
          <w:sz w:val="20"/>
          <w:szCs w:val="20"/>
          <w:lang w:val="nl-NL"/>
        </w:rPr>
        <w:t xml:space="preserve">De CVP heeft op basis van het verslag van het IVC </w:t>
      </w:r>
      <w:r w:rsidR="005E618A">
        <w:rPr>
          <w:rFonts w:ascii="Arial" w:eastAsia="MS Mincho" w:hAnsi="Arial" w:cs="Arial"/>
          <w:sz w:val="20"/>
          <w:szCs w:val="20"/>
          <w:lang w:val="nl-NL"/>
        </w:rPr>
        <w:t>het voornemen uitgesproken om</w:t>
      </w:r>
      <w:r w:rsidRPr="00F32BF1">
        <w:rPr>
          <w:rFonts w:ascii="Arial" w:eastAsia="MS Mincho" w:hAnsi="Arial" w:cs="Arial"/>
          <w:sz w:val="20"/>
          <w:szCs w:val="20"/>
          <w:lang w:val="nl-NL"/>
        </w:rPr>
        <w:t xml:space="preserve"> (Besluit CDNI 2019-II-3) dit tarief in 2021 te verhogen tot 8,50 euro door middel van een besluit tot wijziging van artikel 3.03 van de Uitvoeringsregeling </w:t>
      </w:r>
      <w:r w:rsidR="002B73E3">
        <w:rPr>
          <w:rFonts w:ascii="Arial" w:eastAsia="MS Mincho" w:hAnsi="Arial" w:cs="Arial"/>
          <w:sz w:val="20"/>
          <w:szCs w:val="20"/>
          <w:lang w:val="nl-NL"/>
        </w:rPr>
        <w:t xml:space="preserve">dat </w:t>
      </w:r>
      <w:r w:rsidR="005C00CA">
        <w:rPr>
          <w:rFonts w:ascii="Arial" w:eastAsia="MS Mincho" w:hAnsi="Arial" w:cs="Arial"/>
          <w:sz w:val="20"/>
          <w:szCs w:val="20"/>
          <w:lang w:val="nl-NL"/>
        </w:rPr>
        <w:t xml:space="preserve">al </w:t>
      </w:r>
      <w:r w:rsidRPr="00F32BF1">
        <w:rPr>
          <w:rFonts w:ascii="Arial" w:eastAsia="MS Mincho" w:hAnsi="Arial" w:cs="Arial"/>
          <w:sz w:val="20"/>
          <w:szCs w:val="20"/>
          <w:lang w:val="nl-NL"/>
        </w:rPr>
        <w:t>in juli 2020</w:t>
      </w:r>
      <w:r w:rsidR="002B73E3">
        <w:rPr>
          <w:rFonts w:ascii="Arial" w:eastAsia="MS Mincho" w:hAnsi="Arial" w:cs="Arial"/>
          <w:sz w:val="20"/>
          <w:szCs w:val="20"/>
          <w:lang w:val="nl-NL"/>
        </w:rPr>
        <w:t xml:space="preserve"> aangenomen zal worden</w:t>
      </w:r>
      <w:r w:rsidRPr="00F32BF1">
        <w:rPr>
          <w:rFonts w:ascii="Arial" w:eastAsia="MS Mincho" w:hAnsi="Arial" w:cs="Arial"/>
          <w:sz w:val="20"/>
          <w:szCs w:val="20"/>
          <w:lang w:val="nl-NL"/>
        </w:rPr>
        <w:t xml:space="preserve">, met een inwerkingtreding op 1 januari 2021. Het is inderdaad raadzaam de nodige tijd te voorzien om het elektronische betalingssysteem aan te passen en </w:t>
      </w:r>
      <w:r w:rsidR="00135AAD">
        <w:rPr>
          <w:rFonts w:ascii="Arial" w:eastAsia="MS Mincho" w:hAnsi="Arial" w:cs="Arial"/>
          <w:sz w:val="20"/>
          <w:szCs w:val="20"/>
          <w:lang w:val="nl-NL"/>
        </w:rPr>
        <w:t>de sector</w:t>
      </w:r>
      <w:r w:rsidRPr="00F32BF1">
        <w:rPr>
          <w:rFonts w:ascii="Arial" w:eastAsia="MS Mincho" w:hAnsi="Arial" w:cs="Arial"/>
          <w:sz w:val="20"/>
          <w:szCs w:val="20"/>
          <w:lang w:val="nl-NL"/>
        </w:rPr>
        <w:t xml:space="preserve"> alsook de betrokken partijen bij het systeem naar behoren te informeren.</w:t>
      </w:r>
    </w:p>
    <w:p w14:paraId="4E0DE022" w14:textId="055C5EEF" w:rsidR="00A437EC" w:rsidRDefault="00A437EC" w:rsidP="00F32BF1">
      <w:pPr>
        <w:spacing w:after="0" w:line="240" w:lineRule="auto"/>
        <w:jc w:val="both"/>
        <w:rPr>
          <w:rFonts w:ascii="Arial" w:eastAsia="MS Mincho" w:hAnsi="Arial" w:cs="Arial"/>
          <w:sz w:val="20"/>
          <w:szCs w:val="20"/>
          <w:lang w:val="nl-NL"/>
        </w:rPr>
      </w:pPr>
    </w:p>
    <w:p w14:paraId="3419A574" w14:textId="34A40141" w:rsidR="00F32BF1" w:rsidRDefault="00F32BF1" w:rsidP="00F32BF1">
      <w:pPr>
        <w:spacing w:after="0" w:line="240" w:lineRule="auto"/>
        <w:jc w:val="both"/>
        <w:rPr>
          <w:rFonts w:ascii="Arial" w:eastAsia="MS Mincho" w:hAnsi="Arial" w:cs="Arial"/>
          <w:sz w:val="20"/>
          <w:szCs w:val="20"/>
          <w:lang w:val="nl-NL"/>
        </w:rPr>
      </w:pPr>
    </w:p>
    <w:p w14:paraId="12D0D7AF" w14:textId="77777777" w:rsidR="004C6171" w:rsidRPr="00F32BF1" w:rsidRDefault="004C6171" w:rsidP="00F32BF1">
      <w:pPr>
        <w:spacing w:after="0" w:line="240" w:lineRule="auto"/>
        <w:jc w:val="both"/>
        <w:rPr>
          <w:rFonts w:ascii="Arial" w:eastAsia="MS Mincho" w:hAnsi="Arial" w:cs="Arial"/>
          <w:sz w:val="20"/>
          <w:szCs w:val="20"/>
          <w:lang w:val="nl-NL"/>
        </w:rPr>
      </w:pPr>
    </w:p>
    <w:p w14:paraId="637ECF61" w14:textId="77777777" w:rsidR="00F32BF1" w:rsidRPr="00F32BF1" w:rsidRDefault="00F32BF1" w:rsidP="00F32BF1">
      <w:pPr>
        <w:spacing w:after="0" w:line="240" w:lineRule="auto"/>
        <w:jc w:val="both"/>
        <w:rPr>
          <w:rFonts w:ascii="Arial" w:eastAsia="MS Mincho" w:hAnsi="Arial" w:cs="Arial"/>
          <w:sz w:val="20"/>
          <w:szCs w:val="20"/>
          <w:lang w:val="nl-NL"/>
        </w:rPr>
      </w:pPr>
    </w:p>
    <w:p w14:paraId="12E6B2C7" w14:textId="2307E0EF" w:rsidR="00F32BF1" w:rsidRPr="00F32BF1" w:rsidRDefault="00F32BF1" w:rsidP="00F32BF1">
      <w:pPr>
        <w:spacing w:after="0" w:line="240" w:lineRule="atLeast"/>
        <w:jc w:val="both"/>
        <w:rPr>
          <w:rFonts w:ascii="Arial" w:hAnsi="Arial" w:cs="Arial"/>
          <w:bCs/>
          <w:i/>
          <w:iCs/>
          <w:sz w:val="20"/>
          <w:szCs w:val="20"/>
          <w:lang w:val="nl-NL"/>
        </w:rPr>
      </w:pPr>
      <w:r w:rsidRPr="00F32BF1">
        <w:rPr>
          <w:rFonts w:ascii="Arial" w:hAnsi="Arial" w:cs="Arial"/>
          <w:bCs/>
          <w:i/>
          <w:iCs/>
          <w:sz w:val="20"/>
          <w:szCs w:val="20"/>
          <w:lang w:val="nl-NL"/>
        </w:rPr>
        <w:t xml:space="preserve">Het secretariaat doet in aanvulling op dit ontwerpbesluit een eerste analyse toekomen die door de afdeling Marktobservatie van de CCR is gemaakt met betrekking tot de gevolgen van de Covid-19-crisis voor de binnenvaart </w:t>
      </w:r>
      <w:r w:rsidR="001C1DF0">
        <w:rPr>
          <w:rFonts w:ascii="Arial" w:hAnsi="Arial" w:cs="Arial"/>
          <w:bCs/>
          <w:i/>
          <w:iCs/>
          <w:sz w:val="20"/>
          <w:szCs w:val="20"/>
          <w:lang w:val="nl-NL"/>
        </w:rPr>
        <w:t>in</w:t>
      </w:r>
      <w:r w:rsidRPr="00F32BF1">
        <w:rPr>
          <w:rFonts w:ascii="Arial" w:hAnsi="Arial" w:cs="Arial"/>
          <w:bCs/>
          <w:i/>
          <w:iCs/>
          <w:sz w:val="20"/>
          <w:szCs w:val="20"/>
          <w:lang w:val="nl-NL"/>
        </w:rPr>
        <w:t xml:space="preserve"> het jaar 2020. Het secretariaat zal ook een aanvullende analyse met de gegevens van het SPE-CDNI voor de eerste vijf maanden van het jaar 2020 toezenden.</w:t>
      </w:r>
    </w:p>
    <w:p w14:paraId="41F192B3" w14:textId="1DA17BD2" w:rsidR="00F32BF1" w:rsidRDefault="00F32BF1" w:rsidP="00F32BF1">
      <w:pPr>
        <w:spacing w:after="0" w:line="240" w:lineRule="atLeast"/>
        <w:jc w:val="both"/>
        <w:rPr>
          <w:rFonts w:ascii="Arial" w:hAnsi="Arial" w:cs="Arial"/>
          <w:b/>
          <w:sz w:val="20"/>
          <w:szCs w:val="20"/>
          <w:lang w:val="nl-NL"/>
        </w:rPr>
      </w:pPr>
    </w:p>
    <w:p w14:paraId="5717F1EB" w14:textId="77777777" w:rsidR="004C6171" w:rsidRPr="00F32BF1" w:rsidRDefault="004C6171" w:rsidP="00F32BF1">
      <w:pPr>
        <w:spacing w:after="0" w:line="240" w:lineRule="atLeast"/>
        <w:jc w:val="both"/>
        <w:rPr>
          <w:rFonts w:ascii="Arial" w:hAnsi="Arial" w:cs="Arial"/>
          <w:b/>
          <w:sz w:val="20"/>
          <w:szCs w:val="20"/>
          <w:lang w:val="nl-NL"/>
        </w:rPr>
      </w:pPr>
    </w:p>
    <w:p w14:paraId="6B95C7A6" w14:textId="77777777" w:rsidR="00F32BF1" w:rsidRPr="00F32BF1" w:rsidRDefault="00F32BF1" w:rsidP="00F32BF1">
      <w:pPr>
        <w:spacing w:after="0" w:line="240" w:lineRule="atLeast"/>
        <w:jc w:val="both"/>
        <w:rPr>
          <w:rFonts w:ascii="Arial" w:hAnsi="Arial" w:cs="Arial"/>
          <w:b/>
          <w:sz w:val="20"/>
          <w:szCs w:val="20"/>
          <w:lang w:val="nl-NL"/>
        </w:rPr>
      </w:pPr>
      <w:r w:rsidRPr="00F32BF1">
        <w:rPr>
          <w:rFonts w:ascii="Arial" w:hAnsi="Arial" w:cs="Arial"/>
          <w:b/>
          <w:sz w:val="20"/>
          <w:szCs w:val="20"/>
          <w:lang w:val="nl-NL"/>
        </w:rPr>
        <w:t>Gevolgen van de Covid-19-crisis voor de binnenvaart: eerste analyse van de afdeling Marktobservatie van de CCR, mei 2020</w:t>
      </w:r>
    </w:p>
    <w:p w14:paraId="6C191759" w14:textId="77777777" w:rsidR="00F32BF1" w:rsidRPr="00F32BF1" w:rsidRDefault="00F32BF1" w:rsidP="00F32BF1">
      <w:pPr>
        <w:spacing w:after="0" w:line="240" w:lineRule="atLeast"/>
        <w:jc w:val="both"/>
        <w:rPr>
          <w:rFonts w:ascii="Arial" w:hAnsi="Arial" w:cs="Arial"/>
          <w:bCs/>
          <w:sz w:val="20"/>
          <w:szCs w:val="20"/>
          <w:lang w:val="nl-NL"/>
        </w:rPr>
      </w:pPr>
    </w:p>
    <w:p w14:paraId="19A1AED7" w14:textId="77777777" w:rsidR="00F32BF1" w:rsidRPr="00DC4A5F" w:rsidRDefault="00F32BF1" w:rsidP="00F32BF1">
      <w:pPr>
        <w:spacing w:after="0" w:line="240" w:lineRule="atLeast"/>
        <w:jc w:val="both"/>
        <w:rPr>
          <w:rFonts w:ascii="Arial" w:hAnsi="Arial" w:cs="Arial"/>
          <w:b/>
          <w:sz w:val="20"/>
          <w:szCs w:val="20"/>
          <w:lang w:val="nl-NL"/>
        </w:rPr>
      </w:pPr>
      <w:r w:rsidRPr="00DC4A5F">
        <w:rPr>
          <w:rFonts w:ascii="Arial" w:hAnsi="Arial" w:cs="Arial"/>
          <w:b/>
          <w:sz w:val="20"/>
          <w:szCs w:val="20"/>
          <w:lang w:val="nl-NL"/>
        </w:rPr>
        <w:t>Goederen- en passagiersvervoer:</w:t>
      </w:r>
    </w:p>
    <w:p w14:paraId="6ABD2B2B" w14:textId="241E1A2F" w:rsidR="00F32BF1" w:rsidRPr="00D336A6" w:rsidRDefault="00494100" w:rsidP="00F32BF1">
      <w:pPr>
        <w:spacing w:after="0" w:line="240" w:lineRule="atLeast"/>
        <w:jc w:val="both"/>
        <w:rPr>
          <w:rFonts w:ascii="Arial" w:hAnsi="Arial" w:cs="Arial"/>
          <w:sz w:val="20"/>
          <w:szCs w:val="20"/>
          <w:lang w:val="nl-NL"/>
        </w:rPr>
      </w:pPr>
      <w:r w:rsidRPr="00D336A6">
        <w:rPr>
          <w:rFonts w:ascii="Arial" w:hAnsi="Arial" w:cs="Arial"/>
          <w:sz w:val="20"/>
          <w:szCs w:val="20"/>
          <w:lang w:val="nl-NL"/>
        </w:rPr>
        <w:t xml:space="preserve">De activiteit in de passagierssector (cruisevaart en dagtochten) is </w:t>
      </w:r>
      <w:r w:rsidR="007179D6" w:rsidRPr="00D336A6">
        <w:rPr>
          <w:rFonts w:ascii="Arial" w:hAnsi="Arial" w:cs="Arial"/>
          <w:sz w:val="20"/>
          <w:szCs w:val="20"/>
          <w:lang w:val="nl-NL"/>
        </w:rPr>
        <w:t>ten gevolge van</w:t>
      </w:r>
      <w:r w:rsidRPr="00D336A6">
        <w:rPr>
          <w:rFonts w:ascii="Arial" w:hAnsi="Arial" w:cs="Arial"/>
          <w:sz w:val="20"/>
          <w:szCs w:val="20"/>
          <w:lang w:val="nl-NL"/>
        </w:rPr>
        <w:t xml:space="preserve"> de</w:t>
      </w:r>
      <w:r w:rsidR="00F32BF1" w:rsidRPr="00D336A6">
        <w:rPr>
          <w:rFonts w:ascii="Arial" w:hAnsi="Arial" w:cs="Arial"/>
          <w:sz w:val="20"/>
          <w:szCs w:val="20"/>
          <w:lang w:val="nl-NL"/>
        </w:rPr>
        <w:t xml:space="preserve"> Covid-19</w:t>
      </w:r>
      <w:r w:rsidRPr="00D336A6">
        <w:rPr>
          <w:rFonts w:ascii="Arial" w:hAnsi="Arial" w:cs="Arial"/>
          <w:sz w:val="20"/>
          <w:szCs w:val="20"/>
          <w:lang w:val="nl-NL"/>
        </w:rPr>
        <w:t>-</w:t>
      </w:r>
      <w:r w:rsidR="00F32BF1" w:rsidRPr="00D336A6">
        <w:rPr>
          <w:rFonts w:ascii="Arial" w:hAnsi="Arial" w:cs="Arial"/>
          <w:sz w:val="20"/>
          <w:szCs w:val="20"/>
          <w:lang w:val="nl-NL"/>
        </w:rPr>
        <w:t>crisis</w:t>
      </w:r>
      <w:r w:rsidRPr="00D336A6">
        <w:rPr>
          <w:rFonts w:ascii="Arial" w:hAnsi="Arial" w:cs="Arial"/>
          <w:sz w:val="20"/>
          <w:szCs w:val="20"/>
          <w:lang w:val="nl-NL"/>
        </w:rPr>
        <w:t xml:space="preserve"> praktisch volledig tot stilstand </w:t>
      </w:r>
      <w:r w:rsidR="008D63BD" w:rsidRPr="00D336A6">
        <w:rPr>
          <w:rFonts w:ascii="Arial" w:hAnsi="Arial" w:cs="Arial"/>
          <w:sz w:val="20"/>
          <w:szCs w:val="20"/>
          <w:lang w:val="nl-NL"/>
        </w:rPr>
        <w:t xml:space="preserve">gekomen </w:t>
      </w:r>
      <w:r w:rsidR="007179D6" w:rsidRPr="00D336A6">
        <w:rPr>
          <w:rFonts w:ascii="Arial" w:hAnsi="Arial" w:cs="Arial"/>
          <w:sz w:val="20"/>
          <w:szCs w:val="20"/>
          <w:lang w:val="nl-NL"/>
        </w:rPr>
        <w:t xml:space="preserve">in de eerste helft van 2020 </w:t>
      </w:r>
      <w:r w:rsidR="00F32BF1" w:rsidRPr="00D336A6">
        <w:rPr>
          <w:rFonts w:ascii="Arial" w:hAnsi="Arial" w:cs="Arial"/>
          <w:sz w:val="20"/>
          <w:szCs w:val="20"/>
          <w:lang w:val="nl-NL"/>
        </w:rPr>
        <w:t>(-95%).</w:t>
      </w:r>
    </w:p>
    <w:p w14:paraId="762E123E" w14:textId="74BD5B09" w:rsidR="00F32BF1" w:rsidRPr="00D336A6" w:rsidRDefault="00494100" w:rsidP="00F32BF1">
      <w:pPr>
        <w:spacing w:after="0" w:line="240" w:lineRule="atLeast"/>
        <w:jc w:val="both"/>
        <w:rPr>
          <w:rFonts w:ascii="Arial" w:hAnsi="Arial" w:cs="Arial"/>
          <w:sz w:val="20"/>
          <w:szCs w:val="20"/>
          <w:lang w:val="nl-NL"/>
        </w:rPr>
      </w:pPr>
      <w:r w:rsidRPr="00D336A6">
        <w:rPr>
          <w:rFonts w:ascii="Arial" w:hAnsi="Arial" w:cs="Arial"/>
          <w:sz w:val="20"/>
          <w:szCs w:val="20"/>
          <w:lang w:val="nl-NL"/>
        </w:rPr>
        <w:t xml:space="preserve">De teruggang was minder </w:t>
      </w:r>
      <w:r w:rsidR="007179D6" w:rsidRPr="00D336A6">
        <w:rPr>
          <w:rFonts w:ascii="Arial" w:hAnsi="Arial" w:cs="Arial"/>
          <w:sz w:val="20"/>
          <w:szCs w:val="20"/>
          <w:lang w:val="nl-NL"/>
        </w:rPr>
        <w:t>uitgesproken</w:t>
      </w:r>
      <w:r w:rsidR="000C70B7" w:rsidRPr="00D336A6">
        <w:rPr>
          <w:rFonts w:ascii="Arial" w:hAnsi="Arial" w:cs="Arial"/>
          <w:sz w:val="20"/>
          <w:szCs w:val="20"/>
          <w:lang w:val="nl-NL"/>
        </w:rPr>
        <w:t xml:space="preserve"> in de goederensector</w:t>
      </w:r>
      <w:r w:rsidR="00F32BF1" w:rsidRPr="00D336A6">
        <w:rPr>
          <w:rFonts w:ascii="Arial" w:hAnsi="Arial" w:cs="Arial"/>
          <w:sz w:val="20"/>
          <w:szCs w:val="20"/>
          <w:lang w:val="nl-NL"/>
        </w:rPr>
        <w:t xml:space="preserve">, </w:t>
      </w:r>
      <w:r w:rsidR="000C70B7" w:rsidRPr="00D336A6">
        <w:rPr>
          <w:rFonts w:ascii="Arial" w:hAnsi="Arial" w:cs="Arial"/>
          <w:sz w:val="20"/>
          <w:szCs w:val="20"/>
          <w:lang w:val="nl-NL"/>
        </w:rPr>
        <w:t xml:space="preserve">afhankelijk van </w:t>
      </w:r>
      <w:r w:rsidR="007179D6" w:rsidRPr="00D336A6">
        <w:rPr>
          <w:rFonts w:ascii="Arial" w:hAnsi="Arial" w:cs="Arial"/>
          <w:sz w:val="20"/>
          <w:szCs w:val="20"/>
          <w:lang w:val="nl-NL"/>
        </w:rPr>
        <w:t xml:space="preserve">het </w:t>
      </w:r>
      <w:r w:rsidR="000C70B7" w:rsidRPr="00D336A6">
        <w:rPr>
          <w:rFonts w:ascii="Arial" w:hAnsi="Arial" w:cs="Arial"/>
          <w:sz w:val="20"/>
          <w:szCs w:val="20"/>
          <w:lang w:val="nl-NL"/>
        </w:rPr>
        <w:t>ladingse</w:t>
      </w:r>
      <w:r w:rsidR="007179D6" w:rsidRPr="00D336A6">
        <w:rPr>
          <w:rFonts w:ascii="Arial" w:hAnsi="Arial" w:cs="Arial"/>
          <w:sz w:val="20"/>
          <w:szCs w:val="20"/>
          <w:lang w:val="nl-NL"/>
        </w:rPr>
        <w:t>gment</w:t>
      </w:r>
      <w:r w:rsidR="000C70B7" w:rsidRPr="00D336A6">
        <w:rPr>
          <w:rFonts w:ascii="Arial" w:hAnsi="Arial" w:cs="Arial"/>
          <w:sz w:val="20"/>
          <w:szCs w:val="20"/>
          <w:lang w:val="nl-NL"/>
        </w:rPr>
        <w:t xml:space="preserve"> en </w:t>
      </w:r>
      <w:r w:rsidR="007179D6" w:rsidRPr="00D336A6">
        <w:rPr>
          <w:rFonts w:ascii="Arial" w:hAnsi="Arial" w:cs="Arial"/>
          <w:sz w:val="20"/>
          <w:szCs w:val="20"/>
          <w:lang w:val="nl-NL"/>
        </w:rPr>
        <w:t xml:space="preserve">de </w:t>
      </w:r>
      <w:r w:rsidR="000C70B7" w:rsidRPr="00D336A6">
        <w:rPr>
          <w:rFonts w:ascii="Arial" w:hAnsi="Arial" w:cs="Arial"/>
          <w:sz w:val="20"/>
          <w:szCs w:val="20"/>
          <w:lang w:val="nl-NL"/>
        </w:rPr>
        <w:t>regio</w:t>
      </w:r>
      <w:r w:rsidR="00F32BF1" w:rsidRPr="00D336A6">
        <w:rPr>
          <w:rFonts w:ascii="Arial" w:hAnsi="Arial" w:cs="Arial"/>
          <w:sz w:val="20"/>
          <w:szCs w:val="20"/>
          <w:lang w:val="nl-NL"/>
        </w:rPr>
        <w:t xml:space="preserve">. </w:t>
      </w:r>
      <w:r w:rsidR="000C70B7" w:rsidRPr="00D336A6">
        <w:rPr>
          <w:rFonts w:ascii="Arial" w:hAnsi="Arial" w:cs="Arial"/>
          <w:sz w:val="20"/>
          <w:szCs w:val="20"/>
          <w:lang w:val="nl-NL"/>
        </w:rPr>
        <w:t xml:space="preserve">Op basis van een vergelijking met de terugval van het BBP tijdens de financiële crisis in </w:t>
      </w:r>
      <w:r w:rsidR="00F32BF1" w:rsidRPr="00D336A6">
        <w:rPr>
          <w:rFonts w:ascii="Arial" w:hAnsi="Arial" w:cs="Arial"/>
          <w:sz w:val="20"/>
          <w:szCs w:val="20"/>
          <w:lang w:val="nl-NL"/>
        </w:rPr>
        <w:t xml:space="preserve">2009 </w:t>
      </w:r>
      <w:r w:rsidR="000C70B7" w:rsidRPr="00D336A6">
        <w:rPr>
          <w:rFonts w:ascii="Arial" w:hAnsi="Arial" w:cs="Arial"/>
          <w:sz w:val="20"/>
          <w:szCs w:val="20"/>
          <w:lang w:val="nl-NL"/>
        </w:rPr>
        <w:t>en de gevolgen voor de vraag in de binnenvaartsector, kan een raming van de</w:t>
      </w:r>
      <w:r w:rsidR="00F32BF1" w:rsidRPr="00D336A6">
        <w:rPr>
          <w:rFonts w:ascii="Arial" w:hAnsi="Arial" w:cs="Arial"/>
          <w:sz w:val="20"/>
          <w:szCs w:val="20"/>
          <w:lang w:val="nl-NL"/>
        </w:rPr>
        <w:t xml:space="preserve"> impact </w:t>
      </w:r>
      <w:r w:rsidR="000C70B7" w:rsidRPr="00D336A6">
        <w:rPr>
          <w:rFonts w:ascii="Arial" w:hAnsi="Arial" w:cs="Arial"/>
          <w:sz w:val="20"/>
          <w:szCs w:val="20"/>
          <w:lang w:val="nl-NL"/>
        </w:rPr>
        <w:t>van de</w:t>
      </w:r>
      <w:r w:rsidR="00F32BF1" w:rsidRPr="00D336A6">
        <w:rPr>
          <w:rFonts w:ascii="Arial" w:hAnsi="Arial" w:cs="Arial"/>
          <w:sz w:val="20"/>
          <w:szCs w:val="20"/>
          <w:lang w:val="nl-NL"/>
        </w:rPr>
        <w:t xml:space="preserve"> Covid-19</w:t>
      </w:r>
      <w:r w:rsidR="000C70B7" w:rsidRPr="00D336A6">
        <w:rPr>
          <w:rFonts w:ascii="Arial" w:hAnsi="Arial" w:cs="Arial"/>
          <w:sz w:val="20"/>
          <w:szCs w:val="20"/>
          <w:lang w:val="nl-NL"/>
        </w:rPr>
        <w:t>-</w:t>
      </w:r>
      <w:r w:rsidR="00F32BF1" w:rsidRPr="00D336A6">
        <w:rPr>
          <w:rFonts w:ascii="Arial" w:hAnsi="Arial" w:cs="Arial"/>
          <w:sz w:val="20"/>
          <w:szCs w:val="20"/>
          <w:lang w:val="nl-NL"/>
        </w:rPr>
        <w:t xml:space="preserve">crisis </w:t>
      </w:r>
      <w:r w:rsidR="000C70B7" w:rsidRPr="00D336A6">
        <w:rPr>
          <w:rFonts w:ascii="Arial" w:hAnsi="Arial" w:cs="Arial"/>
          <w:sz w:val="20"/>
          <w:szCs w:val="20"/>
          <w:lang w:val="nl-NL"/>
        </w:rPr>
        <w:t>worden gemaakt</w:t>
      </w:r>
      <w:r w:rsidR="00F32BF1" w:rsidRPr="00D336A6">
        <w:rPr>
          <w:rFonts w:ascii="Arial" w:hAnsi="Arial" w:cs="Arial"/>
          <w:sz w:val="20"/>
          <w:szCs w:val="20"/>
          <w:lang w:val="nl-NL"/>
        </w:rPr>
        <w:t xml:space="preserve">. </w:t>
      </w:r>
      <w:r w:rsidR="000C70B7" w:rsidRPr="00D336A6">
        <w:rPr>
          <w:rFonts w:ascii="Arial" w:hAnsi="Arial" w:cs="Arial"/>
          <w:sz w:val="20"/>
          <w:szCs w:val="20"/>
          <w:lang w:val="nl-NL"/>
        </w:rPr>
        <w:t>Deze raming wijst op een</w:t>
      </w:r>
      <w:r w:rsidR="00F32BF1" w:rsidRPr="00D336A6">
        <w:rPr>
          <w:rFonts w:ascii="Arial" w:hAnsi="Arial" w:cs="Arial"/>
          <w:sz w:val="20"/>
          <w:szCs w:val="20"/>
          <w:lang w:val="nl-NL"/>
        </w:rPr>
        <w:t xml:space="preserve"> </w:t>
      </w:r>
      <w:r w:rsidR="000C70B7" w:rsidRPr="00D336A6">
        <w:rPr>
          <w:rFonts w:ascii="Arial" w:hAnsi="Arial" w:cs="Arial"/>
          <w:b/>
          <w:sz w:val="20"/>
          <w:szCs w:val="20"/>
          <w:lang w:val="nl-NL"/>
        </w:rPr>
        <w:t xml:space="preserve">mogelijke daling van </w:t>
      </w:r>
      <w:r w:rsidR="00F32BF1" w:rsidRPr="00D336A6">
        <w:rPr>
          <w:rFonts w:ascii="Arial" w:hAnsi="Arial" w:cs="Arial"/>
          <w:b/>
          <w:sz w:val="20"/>
          <w:szCs w:val="20"/>
          <w:lang w:val="nl-NL"/>
        </w:rPr>
        <w:t>20 to</w:t>
      </w:r>
      <w:r w:rsidR="000C70B7" w:rsidRPr="00D336A6">
        <w:rPr>
          <w:rFonts w:ascii="Arial" w:hAnsi="Arial" w:cs="Arial"/>
          <w:b/>
          <w:sz w:val="20"/>
          <w:szCs w:val="20"/>
          <w:lang w:val="nl-NL"/>
        </w:rPr>
        <w:t>t</w:t>
      </w:r>
      <w:r w:rsidR="00F32BF1" w:rsidRPr="00D336A6">
        <w:rPr>
          <w:rFonts w:ascii="Arial" w:hAnsi="Arial" w:cs="Arial"/>
          <w:b/>
          <w:sz w:val="20"/>
          <w:szCs w:val="20"/>
          <w:lang w:val="nl-NL"/>
        </w:rPr>
        <w:t xml:space="preserve"> 25% </w:t>
      </w:r>
      <w:r w:rsidR="000C70B7" w:rsidRPr="00D336A6">
        <w:rPr>
          <w:rFonts w:ascii="Arial" w:hAnsi="Arial" w:cs="Arial"/>
          <w:b/>
          <w:sz w:val="20"/>
          <w:szCs w:val="20"/>
          <w:lang w:val="nl-NL"/>
        </w:rPr>
        <w:t>van het goederenvervoer</w:t>
      </w:r>
      <w:r w:rsidR="00F32BF1" w:rsidRPr="00D336A6">
        <w:rPr>
          <w:rFonts w:ascii="Arial" w:hAnsi="Arial" w:cs="Arial"/>
          <w:sz w:val="20"/>
          <w:szCs w:val="20"/>
          <w:lang w:val="nl-NL"/>
        </w:rPr>
        <w:t xml:space="preserve"> in </w:t>
      </w:r>
      <w:r w:rsidR="000C70B7" w:rsidRPr="00D336A6">
        <w:rPr>
          <w:rFonts w:ascii="Arial" w:hAnsi="Arial" w:cs="Arial"/>
          <w:sz w:val="20"/>
          <w:szCs w:val="20"/>
          <w:lang w:val="nl-NL"/>
        </w:rPr>
        <w:t>de binnenvaart in</w:t>
      </w:r>
      <w:r w:rsidR="00F32BF1" w:rsidRPr="00D336A6">
        <w:rPr>
          <w:rFonts w:ascii="Arial" w:hAnsi="Arial" w:cs="Arial"/>
          <w:sz w:val="20"/>
          <w:szCs w:val="20"/>
          <w:lang w:val="nl-NL"/>
        </w:rPr>
        <w:t xml:space="preserve"> 2020 </w:t>
      </w:r>
      <w:r w:rsidR="008D63BD" w:rsidRPr="00D336A6">
        <w:rPr>
          <w:rFonts w:ascii="Arial" w:hAnsi="Arial" w:cs="Arial"/>
          <w:sz w:val="20"/>
          <w:szCs w:val="20"/>
          <w:lang w:val="nl-NL"/>
        </w:rPr>
        <w:t>wanneer</w:t>
      </w:r>
      <w:r w:rsidR="000C70B7" w:rsidRPr="00D336A6">
        <w:rPr>
          <w:rFonts w:ascii="Arial" w:hAnsi="Arial" w:cs="Arial"/>
          <w:sz w:val="20"/>
          <w:szCs w:val="20"/>
          <w:lang w:val="nl-NL"/>
        </w:rPr>
        <w:t xml:space="preserve"> de verschillende </w:t>
      </w:r>
      <w:proofErr w:type="spellStart"/>
      <w:r w:rsidR="00F32BF1" w:rsidRPr="00D336A6">
        <w:rPr>
          <w:rFonts w:ascii="Arial" w:hAnsi="Arial" w:cs="Arial"/>
          <w:sz w:val="20"/>
          <w:szCs w:val="20"/>
          <w:lang w:val="nl-NL"/>
        </w:rPr>
        <w:t>lockdown</w:t>
      </w:r>
      <w:r w:rsidR="000C70B7" w:rsidRPr="00D336A6">
        <w:rPr>
          <w:rFonts w:ascii="Arial" w:hAnsi="Arial" w:cs="Arial"/>
          <w:sz w:val="20"/>
          <w:szCs w:val="20"/>
          <w:lang w:val="nl-NL"/>
        </w:rPr>
        <w:t>maatregelen</w:t>
      </w:r>
      <w:proofErr w:type="spellEnd"/>
      <w:r w:rsidR="000C70B7" w:rsidRPr="00D336A6">
        <w:rPr>
          <w:rFonts w:ascii="Arial" w:hAnsi="Arial" w:cs="Arial"/>
          <w:sz w:val="20"/>
          <w:szCs w:val="20"/>
          <w:lang w:val="nl-NL"/>
        </w:rPr>
        <w:t xml:space="preserve"> het hele jaar </w:t>
      </w:r>
      <w:r w:rsidR="00F32BF1" w:rsidRPr="00D336A6">
        <w:rPr>
          <w:rFonts w:ascii="Arial" w:hAnsi="Arial" w:cs="Arial"/>
          <w:sz w:val="20"/>
          <w:szCs w:val="20"/>
          <w:lang w:val="nl-NL"/>
        </w:rPr>
        <w:t>2020</w:t>
      </w:r>
      <w:r w:rsidR="000C70B7" w:rsidRPr="00D336A6">
        <w:rPr>
          <w:rFonts w:ascii="Arial" w:hAnsi="Arial" w:cs="Arial"/>
          <w:sz w:val="20"/>
          <w:szCs w:val="20"/>
          <w:lang w:val="nl-NL"/>
        </w:rPr>
        <w:t xml:space="preserve"> van kracht blijven</w:t>
      </w:r>
      <w:r w:rsidR="00F32BF1" w:rsidRPr="00D336A6">
        <w:rPr>
          <w:rFonts w:ascii="Arial" w:hAnsi="Arial" w:cs="Arial"/>
          <w:sz w:val="20"/>
          <w:szCs w:val="20"/>
          <w:lang w:val="nl-NL"/>
        </w:rPr>
        <w:t xml:space="preserve">. </w:t>
      </w:r>
      <w:r w:rsidR="000C70B7" w:rsidRPr="00D336A6">
        <w:rPr>
          <w:rFonts w:ascii="Arial" w:hAnsi="Arial" w:cs="Arial"/>
          <w:sz w:val="20"/>
          <w:szCs w:val="20"/>
          <w:lang w:val="nl-NL"/>
        </w:rPr>
        <w:t>Dit is natuurlijk een raming en de dalingen kunnen ook anders uitpakken</w:t>
      </w:r>
      <w:r w:rsidR="00F32BF1" w:rsidRPr="00D336A6">
        <w:rPr>
          <w:rFonts w:ascii="Arial" w:hAnsi="Arial" w:cs="Arial"/>
          <w:sz w:val="20"/>
          <w:szCs w:val="20"/>
          <w:lang w:val="nl-NL"/>
        </w:rPr>
        <w:t>.</w:t>
      </w:r>
    </w:p>
    <w:p w14:paraId="607EDDDE" w14:textId="7397F17E" w:rsidR="00F32BF1" w:rsidRPr="00F32BF1" w:rsidRDefault="00F32BF1" w:rsidP="00F32BF1">
      <w:pPr>
        <w:spacing w:after="0" w:line="240" w:lineRule="atLeast"/>
        <w:jc w:val="both"/>
        <w:rPr>
          <w:rFonts w:ascii="Arial" w:hAnsi="Arial" w:cs="Arial"/>
          <w:bCs/>
          <w:sz w:val="20"/>
          <w:szCs w:val="20"/>
          <w:lang w:val="nl-NL"/>
        </w:rPr>
      </w:pPr>
      <w:r w:rsidRPr="00D336A6">
        <w:rPr>
          <w:rFonts w:ascii="Arial" w:hAnsi="Arial" w:cs="Arial"/>
          <w:bCs/>
          <w:sz w:val="20"/>
          <w:szCs w:val="20"/>
          <w:lang w:val="nl-NL"/>
        </w:rPr>
        <w:t>De crisis raakt met name het vervoer van vaste goederen</w:t>
      </w:r>
      <w:r w:rsidRPr="00F32BF1">
        <w:rPr>
          <w:rFonts w:ascii="Arial" w:hAnsi="Arial" w:cs="Arial"/>
          <w:bCs/>
          <w:sz w:val="20"/>
          <w:szCs w:val="20"/>
          <w:lang w:val="nl-NL"/>
        </w:rPr>
        <w:t>, vooral als gevolg van de sluiting van toonaangevende industriële ondernemingen.</w:t>
      </w:r>
    </w:p>
    <w:p w14:paraId="21AC0C16" w14:textId="77777777" w:rsidR="00C9045C" w:rsidRDefault="00C9045C" w:rsidP="00F32BF1">
      <w:pPr>
        <w:spacing w:after="0" w:line="240" w:lineRule="atLeast"/>
        <w:jc w:val="both"/>
        <w:rPr>
          <w:rFonts w:ascii="Arial" w:hAnsi="Arial" w:cs="Arial"/>
          <w:bCs/>
          <w:sz w:val="20"/>
          <w:szCs w:val="20"/>
          <w:lang w:val="nl-NL"/>
        </w:rPr>
      </w:pPr>
    </w:p>
    <w:p w14:paraId="7E126589" w14:textId="466812F5" w:rsidR="00F32BF1" w:rsidRPr="00F32BF1" w:rsidRDefault="00F32BF1" w:rsidP="00F32BF1">
      <w:pPr>
        <w:spacing w:after="0" w:line="240" w:lineRule="atLeast"/>
        <w:jc w:val="both"/>
        <w:rPr>
          <w:rFonts w:ascii="Arial" w:hAnsi="Arial" w:cs="Arial"/>
          <w:bCs/>
          <w:sz w:val="20"/>
          <w:szCs w:val="20"/>
          <w:lang w:val="nl-NL"/>
        </w:rPr>
      </w:pPr>
      <w:r w:rsidRPr="00F32BF1">
        <w:rPr>
          <w:rFonts w:ascii="Arial" w:hAnsi="Arial" w:cs="Arial"/>
          <w:bCs/>
          <w:sz w:val="20"/>
          <w:szCs w:val="20"/>
          <w:lang w:val="nl-NL"/>
        </w:rPr>
        <w:t>De gemaakte raming van 25% wordt bevestigd door de cijfers van de havens van Bazel, Lyon, Mannheim en Karlsruhe voor april 2020, die een daling van het vervoer over de binnenwateren vertonen van respectievelijk 18, 19, 25 en 17% (vergeleken met april 2019).</w:t>
      </w:r>
    </w:p>
    <w:p w14:paraId="22CE3B72" w14:textId="77777777" w:rsidR="00F32BF1" w:rsidRPr="00F32BF1" w:rsidRDefault="00F32BF1" w:rsidP="00F32BF1">
      <w:pPr>
        <w:spacing w:after="0" w:line="240" w:lineRule="atLeast"/>
        <w:jc w:val="both"/>
        <w:rPr>
          <w:rFonts w:ascii="Arial" w:hAnsi="Arial" w:cs="Arial"/>
          <w:bCs/>
          <w:sz w:val="20"/>
          <w:szCs w:val="20"/>
          <w:lang w:val="nl-NL"/>
        </w:rPr>
      </w:pPr>
    </w:p>
    <w:p w14:paraId="5CCB55DC" w14:textId="77777777" w:rsidR="00F32BF1" w:rsidRPr="00F32BF1" w:rsidRDefault="00F32BF1" w:rsidP="00F32BF1">
      <w:pPr>
        <w:spacing w:after="0" w:line="240" w:lineRule="atLeast"/>
        <w:jc w:val="both"/>
        <w:rPr>
          <w:rFonts w:ascii="Arial" w:hAnsi="Arial" w:cs="Arial"/>
          <w:bCs/>
          <w:sz w:val="20"/>
          <w:szCs w:val="20"/>
          <w:lang w:val="nl-NL"/>
        </w:rPr>
      </w:pPr>
      <w:r w:rsidRPr="00F32BF1">
        <w:rPr>
          <w:rFonts w:ascii="Arial" w:hAnsi="Arial" w:cs="Arial"/>
          <w:bCs/>
          <w:sz w:val="20"/>
          <w:szCs w:val="20"/>
          <w:lang w:val="nl-NL"/>
        </w:rPr>
        <w:t>Dit zonder rekening te houden met een mogelijke nieuwe laagwaterperiode in 2020, hoewel natuurlijk geen zekerheid bestaat over toekomstige hydrologische omstandigheden.</w:t>
      </w:r>
    </w:p>
    <w:p w14:paraId="7FA9C3C4" w14:textId="77777777" w:rsidR="00F32BF1" w:rsidRPr="00F32BF1" w:rsidRDefault="00F32BF1" w:rsidP="00F32BF1">
      <w:pPr>
        <w:spacing w:after="0" w:line="240" w:lineRule="atLeast"/>
        <w:jc w:val="both"/>
        <w:rPr>
          <w:rFonts w:ascii="Arial" w:hAnsi="Arial" w:cs="Arial"/>
          <w:sz w:val="20"/>
          <w:szCs w:val="20"/>
          <w:lang w:val="nl-NL"/>
        </w:rPr>
      </w:pPr>
    </w:p>
    <w:p w14:paraId="2EC83728" w14:textId="77777777" w:rsidR="00F32BF1" w:rsidRPr="00F32BF1" w:rsidRDefault="00F32BF1" w:rsidP="00F32BF1">
      <w:pPr>
        <w:spacing w:after="0" w:line="240" w:lineRule="atLeast"/>
        <w:jc w:val="both"/>
        <w:rPr>
          <w:rFonts w:ascii="Arial" w:hAnsi="Arial" w:cs="Arial"/>
          <w:b/>
          <w:bCs/>
          <w:sz w:val="20"/>
          <w:szCs w:val="20"/>
          <w:lang w:val="nl-NL"/>
        </w:rPr>
      </w:pPr>
      <w:r w:rsidRPr="00F32BF1">
        <w:rPr>
          <w:rFonts w:ascii="Arial" w:hAnsi="Arial" w:cs="Arial"/>
          <w:b/>
          <w:bCs/>
          <w:sz w:val="20"/>
          <w:szCs w:val="20"/>
          <w:lang w:val="nl-NL"/>
        </w:rPr>
        <w:t>Olieprijzen</w:t>
      </w:r>
    </w:p>
    <w:p w14:paraId="51F8C43C" w14:textId="54BFFB20" w:rsidR="00F32BF1" w:rsidRPr="00D336A6" w:rsidRDefault="00F32BF1" w:rsidP="00F32BF1">
      <w:pPr>
        <w:spacing w:after="0" w:line="240" w:lineRule="atLeast"/>
        <w:jc w:val="both"/>
        <w:rPr>
          <w:rFonts w:ascii="Arial" w:hAnsi="Arial" w:cs="Arial"/>
          <w:bCs/>
          <w:sz w:val="20"/>
          <w:szCs w:val="20"/>
          <w:lang w:val="nl-NL"/>
        </w:rPr>
      </w:pPr>
      <w:r w:rsidRPr="00D336A6">
        <w:rPr>
          <w:rFonts w:ascii="Arial" w:hAnsi="Arial" w:cs="Arial"/>
          <w:bCs/>
          <w:sz w:val="20"/>
          <w:szCs w:val="20"/>
          <w:lang w:val="nl-NL"/>
        </w:rPr>
        <w:t xml:space="preserve">De crisis wordt ook gekenmerkt door een scherpe daling van de olieprijzen. </w:t>
      </w:r>
      <w:r w:rsidR="008D63BD" w:rsidRPr="00D336A6">
        <w:rPr>
          <w:rFonts w:ascii="Arial" w:hAnsi="Arial" w:cs="Arial"/>
          <w:bCs/>
          <w:sz w:val="20"/>
          <w:szCs w:val="20"/>
          <w:lang w:val="nl-NL"/>
        </w:rPr>
        <w:t xml:space="preserve">De internationale en nationale reisbeperkingen over de hele wereld en </w:t>
      </w:r>
      <w:r w:rsidR="007179D6" w:rsidRPr="00D336A6">
        <w:rPr>
          <w:rFonts w:ascii="Arial" w:hAnsi="Arial" w:cs="Arial"/>
          <w:bCs/>
          <w:sz w:val="20"/>
          <w:szCs w:val="20"/>
          <w:lang w:val="nl-NL"/>
        </w:rPr>
        <w:t>de</w:t>
      </w:r>
      <w:r w:rsidR="008D63BD" w:rsidRPr="00D336A6">
        <w:rPr>
          <w:rFonts w:ascii="Arial" w:hAnsi="Arial" w:cs="Arial"/>
          <w:bCs/>
          <w:sz w:val="20"/>
          <w:szCs w:val="20"/>
          <w:lang w:val="nl-NL"/>
        </w:rPr>
        <w:t xml:space="preserve"> forse daling in het </w:t>
      </w:r>
      <w:r w:rsidR="007179D6" w:rsidRPr="00D336A6">
        <w:rPr>
          <w:rFonts w:ascii="Arial" w:hAnsi="Arial" w:cs="Arial"/>
          <w:bCs/>
          <w:sz w:val="20"/>
          <w:szCs w:val="20"/>
          <w:lang w:val="nl-NL"/>
        </w:rPr>
        <w:t>wegverkeer</w:t>
      </w:r>
      <w:r w:rsidR="008D63BD" w:rsidRPr="00D336A6">
        <w:rPr>
          <w:rFonts w:ascii="Arial" w:hAnsi="Arial" w:cs="Arial"/>
          <w:bCs/>
          <w:sz w:val="20"/>
          <w:szCs w:val="20"/>
          <w:lang w:val="nl-NL"/>
        </w:rPr>
        <w:t xml:space="preserve"> leiden tot een ongekende terugval in de vraag naar olie, aangezien de vervoerssector meer dan 60</w:t>
      </w:r>
      <w:r w:rsidR="00F55AC8" w:rsidRPr="00D336A6">
        <w:rPr>
          <w:rFonts w:ascii="Arial" w:hAnsi="Arial" w:cs="Arial"/>
          <w:bCs/>
          <w:sz w:val="20"/>
          <w:szCs w:val="20"/>
          <w:lang w:val="nl-NL"/>
        </w:rPr>
        <w:t>%</w:t>
      </w:r>
      <w:r w:rsidR="008D63BD" w:rsidRPr="00D336A6">
        <w:rPr>
          <w:rFonts w:ascii="Arial" w:hAnsi="Arial" w:cs="Arial"/>
          <w:bCs/>
          <w:sz w:val="20"/>
          <w:szCs w:val="20"/>
          <w:lang w:val="nl-NL"/>
        </w:rPr>
        <w:t xml:space="preserve"> van de globale </w:t>
      </w:r>
      <w:r w:rsidR="007179D6" w:rsidRPr="00D336A6">
        <w:rPr>
          <w:rFonts w:ascii="Arial" w:hAnsi="Arial" w:cs="Arial"/>
          <w:bCs/>
          <w:sz w:val="20"/>
          <w:szCs w:val="20"/>
          <w:lang w:val="nl-NL"/>
        </w:rPr>
        <w:t>olie</w:t>
      </w:r>
      <w:r w:rsidR="008D63BD" w:rsidRPr="00D336A6">
        <w:rPr>
          <w:rFonts w:ascii="Arial" w:hAnsi="Arial" w:cs="Arial"/>
          <w:bCs/>
          <w:sz w:val="20"/>
          <w:szCs w:val="20"/>
          <w:lang w:val="nl-NL"/>
        </w:rPr>
        <w:t xml:space="preserve">vraag vertegenwoordigt. Tussen augustus 2019 en maart 2020 zijn de olieprijzen </w:t>
      </w:r>
      <w:r w:rsidR="00F55AC8" w:rsidRPr="00D336A6">
        <w:rPr>
          <w:rFonts w:ascii="Arial" w:hAnsi="Arial" w:cs="Arial"/>
          <w:bCs/>
          <w:sz w:val="20"/>
          <w:szCs w:val="20"/>
          <w:lang w:val="nl-NL"/>
        </w:rPr>
        <w:t xml:space="preserve">gedaald </w:t>
      </w:r>
      <w:r w:rsidR="008D63BD" w:rsidRPr="00D336A6">
        <w:rPr>
          <w:rFonts w:ascii="Arial" w:hAnsi="Arial" w:cs="Arial"/>
          <w:bCs/>
          <w:sz w:val="20"/>
          <w:szCs w:val="20"/>
          <w:lang w:val="nl-NL"/>
        </w:rPr>
        <w:t xml:space="preserve">van 57,60 naar 32,30 </w:t>
      </w:r>
      <w:r w:rsidR="00064911" w:rsidRPr="00D336A6">
        <w:rPr>
          <w:rFonts w:ascii="Arial" w:hAnsi="Arial" w:cs="Arial"/>
          <w:bCs/>
          <w:sz w:val="20"/>
          <w:szCs w:val="20"/>
          <w:lang w:val="nl-NL"/>
        </w:rPr>
        <w:t>dollar</w:t>
      </w:r>
      <w:r w:rsidR="008D63BD" w:rsidRPr="00D336A6">
        <w:rPr>
          <w:rFonts w:ascii="Arial" w:hAnsi="Arial" w:cs="Arial"/>
          <w:bCs/>
          <w:sz w:val="20"/>
          <w:szCs w:val="20"/>
          <w:lang w:val="nl-NL"/>
        </w:rPr>
        <w:t xml:space="preserve"> (-39,6%). </w:t>
      </w:r>
      <w:r w:rsidR="00F55AC8" w:rsidRPr="00D336A6">
        <w:rPr>
          <w:rFonts w:ascii="Arial" w:hAnsi="Arial" w:cs="Arial"/>
          <w:bCs/>
          <w:sz w:val="20"/>
          <w:szCs w:val="20"/>
          <w:lang w:val="nl-NL"/>
        </w:rPr>
        <w:t>De grote</w:t>
      </w:r>
      <w:r w:rsidR="008D63BD" w:rsidRPr="00D336A6">
        <w:rPr>
          <w:rFonts w:ascii="Arial" w:hAnsi="Arial" w:cs="Arial"/>
          <w:bCs/>
          <w:sz w:val="20"/>
          <w:szCs w:val="20"/>
          <w:lang w:val="nl-NL"/>
        </w:rPr>
        <w:t xml:space="preserve"> olieproducerende landen konden </w:t>
      </w:r>
      <w:r w:rsidR="00064911" w:rsidRPr="00D336A6">
        <w:rPr>
          <w:rFonts w:ascii="Arial" w:hAnsi="Arial" w:cs="Arial"/>
          <w:bCs/>
          <w:sz w:val="20"/>
          <w:szCs w:val="20"/>
          <w:lang w:val="nl-NL"/>
        </w:rPr>
        <w:t xml:space="preserve">geen </w:t>
      </w:r>
      <w:r w:rsidR="008D63BD" w:rsidRPr="00D336A6">
        <w:rPr>
          <w:rFonts w:ascii="Arial" w:hAnsi="Arial" w:cs="Arial"/>
          <w:bCs/>
          <w:sz w:val="20"/>
          <w:szCs w:val="20"/>
          <w:lang w:val="nl-NL"/>
        </w:rPr>
        <w:t xml:space="preserve">overeenstemming </w:t>
      </w:r>
      <w:r w:rsidR="00064911" w:rsidRPr="00D336A6">
        <w:rPr>
          <w:rFonts w:ascii="Arial" w:hAnsi="Arial" w:cs="Arial"/>
          <w:bCs/>
          <w:sz w:val="20"/>
          <w:szCs w:val="20"/>
          <w:lang w:val="nl-NL"/>
        </w:rPr>
        <w:t>bereiken</w:t>
      </w:r>
      <w:r w:rsidR="008D63BD" w:rsidRPr="00D336A6">
        <w:rPr>
          <w:rFonts w:ascii="Arial" w:hAnsi="Arial" w:cs="Arial"/>
          <w:bCs/>
          <w:sz w:val="20"/>
          <w:szCs w:val="20"/>
          <w:lang w:val="nl-NL"/>
        </w:rPr>
        <w:t xml:space="preserve"> over een productiebeperking, waardoor de terugval </w:t>
      </w:r>
      <w:r w:rsidR="00F55AC8" w:rsidRPr="00D336A6">
        <w:rPr>
          <w:rFonts w:ascii="Arial" w:hAnsi="Arial" w:cs="Arial"/>
          <w:bCs/>
          <w:sz w:val="20"/>
          <w:szCs w:val="20"/>
          <w:lang w:val="nl-NL"/>
        </w:rPr>
        <w:t xml:space="preserve">nog </w:t>
      </w:r>
      <w:r w:rsidR="008D63BD" w:rsidRPr="00D336A6">
        <w:rPr>
          <w:rFonts w:ascii="Arial" w:hAnsi="Arial" w:cs="Arial"/>
          <w:bCs/>
          <w:sz w:val="20"/>
          <w:szCs w:val="20"/>
          <w:lang w:val="nl-NL"/>
        </w:rPr>
        <w:t>werd versneld.</w:t>
      </w:r>
      <w:r w:rsidRPr="00D336A6">
        <w:rPr>
          <w:rStyle w:val="Appelnotedebasdep"/>
          <w:rFonts w:ascii="Arial" w:hAnsi="Arial" w:cs="Arial"/>
          <w:bCs/>
          <w:sz w:val="20"/>
          <w:szCs w:val="20"/>
          <w:lang w:val="nl-NL"/>
        </w:rPr>
        <w:footnoteReference w:id="1"/>
      </w:r>
    </w:p>
    <w:p w14:paraId="4F8D0F4F" w14:textId="11B46C83" w:rsidR="00F32BF1" w:rsidRPr="00064911" w:rsidRDefault="008D63BD" w:rsidP="00F32BF1">
      <w:pPr>
        <w:spacing w:after="0" w:line="240" w:lineRule="atLeast"/>
        <w:jc w:val="both"/>
        <w:rPr>
          <w:rFonts w:ascii="Arial" w:hAnsi="Arial" w:cs="Arial"/>
          <w:bCs/>
          <w:sz w:val="20"/>
          <w:szCs w:val="20"/>
          <w:lang w:val="nl-NL"/>
        </w:rPr>
      </w:pPr>
      <w:r w:rsidRPr="00D336A6">
        <w:rPr>
          <w:rFonts w:ascii="Arial" w:hAnsi="Arial" w:cs="Arial"/>
          <w:bCs/>
          <w:sz w:val="20"/>
          <w:szCs w:val="20"/>
          <w:lang w:val="nl-NL"/>
        </w:rPr>
        <w:t xml:space="preserve">Deze prijsontwikkeling gaat gepaard met sterk toename van de olievoorraden, vrijwillige productieverminderingen en een </w:t>
      </w:r>
      <w:r w:rsidR="00064911" w:rsidRPr="00D336A6">
        <w:rPr>
          <w:rFonts w:ascii="Arial" w:hAnsi="Arial" w:cs="Arial"/>
          <w:bCs/>
          <w:sz w:val="20"/>
          <w:szCs w:val="20"/>
          <w:lang w:val="nl-NL"/>
        </w:rPr>
        <w:t>verminderde opbrengst aan olie</w:t>
      </w:r>
      <w:r w:rsidRPr="00D336A6">
        <w:rPr>
          <w:rFonts w:ascii="Arial" w:hAnsi="Arial" w:cs="Arial"/>
          <w:bCs/>
          <w:sz w:val="20"/>
          <w:szCs w:val="20"/>
          <w:lang w:val="nl-NL"/>
        </w:rPr>
        <w:t xml:space="preserve">. </w:t>
      </w:r>
      <w:r w:rsidR="00064911" w:rsidRPr="00D336A6">
        <w:rPr>
          <w:rFonts w:ascii="Arial" w:hAnsi="Arial" w:cs="Arial"/>
          <w:bCs/>
          <w:sz w:val="20"/>
          <w:szCs w:val="20"/>
          <w:lang w:val="nl-NL"/>
        </w:rPr>
        <w:t xml:space="preserve">De termijnmarkten </w:t>
      </w:r>
      <w:r w:rsidRPr="00D336A6">
        <w:rPr>
          <w:rFonts w:ascii="Arial" w:hAnsi="Arial" w:cs="Arial"/>
          <w:bCs/>
          <w:sz w:val="20"/>
          <w:szCs w:val="20"/>
          <w:lang w:val="nl-NL"/>
        </w:rPr>
        <w:t xml:space="preserve">geven aan dat de olieprijzen </w:t>
      </w:r>
      <w:r w:rsidR="00064911" w:rsidRPr="00D336A6">
        <w:rPr>
          <w:rFonts w:ascii="Arial" w:hAnsi="Arial" w:cs="Arial"/>
          <w:bCs/>
          <w:sz w:val="20"/>
          <w:szCs w:val="20"/>
          <w:lang w:val="nl-NL"/>
        </w:rPr>
        <w:t>tot 2024 onder 45 dollar per vat zullen blijven, wat wijst op een aanhoudende zwakke vraag.</w:t>
      </w:r>
    </w:p>
    <w:p w14:paraId="7191178C" w14:textId="27BC8F18" w:rsidR="00F32BF1" w:rsidRPr="008D63BD" w:rsidRDefault="00F32BF1" w:rsidP="00F32BF1">
      <w:pPr>
        <w:spacing w:after="0" w:line="240" w:lineRule="atLeast"/>
        <w:rPr>
          <w:rFonts w:ascii="Arial" w:hAnsi="Arial" w:cs="Arial"/>
          <w:i/>
          <w:iCs/>
          <w:sz w:val="20"/>
          <w:szCs w:val="20"/>
          <w:lang w:val="nl-NL"/>
        </w:rPr>
      </w:pPr>
    </w:p>
    <w:p w14:paraId="66414B7F" w14:textId="77777777" w:rsidR="00F32BF1" w:rsidRPr="00F32BF1" w:rsidRDefault="00F32BF1" w:rsidP="00F32BF1">
      <w:pPr>
        <w:spacing w:after="0" w:line="240" w:lineRule="atLeast"/>
        <w:rPr>
          <w:rFonts w:ascii="Arial" w:hAnsi="Arial" w:cs="Arial"/>
          <w:i/>
          <w:iCs/>
          <w:sz w:val="20"/>
          <w:szCs w:val="20"/>
          <w:lang w:val="nl-NL"/>
        </w:rPr>
      </w:pPr>
      <w:r w:rsidRPr="00F32BF1">
        <w:rPr>
          <w:rFonts w:ascii="Arial" w:hAnsi="Arial" w:cs="Arial"/>
          <w:i/>
          <w:iCs/>
          <w:sz w:val="20"/>
          <w:szCs w:val="20"/>
          <w:lang w:val="nl-NL"/>
        </w:rPr>
        <w:t>Uittreksels uit het jaarverslag 2020 van de Marktobservatie (gepubliceerd in september 2020)</w:t>
      </w:r>
    </w:p>
    <w:p w14:paraId="71FA27DE" w14:textId="77777777" w:rsidR="00F32BF1" w:rsidRPr="00F32BF1" w:rsidRDefault="00F32BF1" w:rsidP="00F32BF1">
      <w:pPr>
        <w:spacing w:after="0" w:line="240" w:lineRule="atLeast"/>
        <w:rPr>
          <w:rFonts w:ascii="Arial" w:hAnsi="Arial" w:cs="Arial"/>
          <w:i/>
          <w:iCs/>
          <w:sz w:val="20"/>
          <w:szCs w:val="20"/>
          <w:lang w:val="nl-NL"/>
        </w:rPr>
      </w:pPr>
    </w:p>
    <w:p w14:paraId="23E39F84" w14:textId="77777777" w:rsidR="006C3389" w:rsidRDefault="00F32BF1" w:rsidP="006C3389">
      <w:pPr>
        <w:spacing w:after="0" w:line="240" w:lineRule="atLeast"/>
        <w:jc w:val="both"/>
        <w:rPr>
          <w:rFonts w:ascii="Arial" w:hAnsi="Arial" w:cs="Arial"/>
          <w:i/>
          <w:iCs/>
          <w:sz w:val="20"/>
          <w:szCs w:val="20"/>
          <w:lang w:val="nl-NL"/>
        </w:rPr>
      </w:pPr>
      <w:r w:rsidRPr="00F32BF1">
        <w:rPr>
          <w:rFonts w:ascii="Arial" w:hAnsi="Arial" w:cs="Arial"/>
          <w:i/>
          <w:iCs/>
          <w:sz w:val="20"/>
          <w:szCs w:val="20"/>
          <w:lang w:val="nl-NL"/>
        </w:rPr>
        <w:t xml:space="preserve">Zie ook de nieuwsbrief van de CCR, </w:t>
      </w:r>
      <w:proofErr w:type="spellStart"/>
      <w:r w:rsidRPr="00F32BF1">
        <w:rPr>
          <w:rFonts w:ascii="Arial" w:hAnsi="Arial" w:cs="Arial"/>
          <w:i/>
          <w:iCs/>
          <w:sz w:val="20"/>
          <w:szCs w:val="20"/>
          <w:lang w:val="nl-NL"/>
        </w:rPr>
        <w:t>Economic</w:t>
      </w:r>
      <w:proofErr w:type="spellEnd"/>
      <w:r w:rsidRPr="00F32BF1">
        <w:rPr>
          <w:rFonts w:ascii="Arial" w:hAnsi="Arial" w:cs="Arial"/>
          <w:i/>
          <w:iCs/>
          <w:sz w:val="20"/>
          <w:szCs w:val="20"/>
          <w:lang w:val="nl-NL"/>
        </w:rPr>
        <w:t xml:space="preserve"> impacts of </w:t>
      </w:r>
      <w:proofErr w:type="spellStart"/>
      <w:r w:rsidRPr="00F32BF1">
        <w:rPr>
          <w:rFonts w:ascii="Arial" w:hAnsi="Arial" w:cs="Arial"/>
          <w:i/>
          <w:iCs/>
          <w:sz w:val="20"/>
          <w:szCs w:val="20"/>
          <w:lang w:val="nl-NL"/>
        </w:rPr>
        <w:t>the</w:t>
      </w:r>
      <w:proofErr w:type="spellEnd"/>
      <w:r w:rsidRPr="00F32BF1">
        <w:rPr>
          <w:rFonts w:ascii="Arial" w:hAnsi="Arial" w:cs="Arial"/>
          <w:i/>
          <w:iCs/>
          <w:sz w:val="20"/>
          <w:szCs w:val="20"/>
          <w:lang w:val="nl-NL"/>
        </w:rPr>
        <w:t xml:space="preserve"> COVID-19 crisis on European </w:t>
      </w:r>
      <w:proofErr w:type="spellStart"/>
      <w:r w:rsidRPr="00F32BF1">
        <w:rPr>
          <w:rFonts w:ascii="Arial" w:hAnsi="Arial" w:cs="Arial"/>
          <w:i/>
          <w:iCs/>
          <w:sz w:val="20"/>
          <w:szCs w:val="20"/>
          <w:lang w:val="nl-NL"/>
        </w:rPr>
        <w:t>inland</w:t>
      </w:r>
      <w:proofErr w:type="spellEnd"/>
      <w:r w:rsidRPr="00F32BF1">
        <w:rPr>
          <w:rFonts w:ascii="Arial" w:hAnsi="Arial" w:cs="Arial"/>
          <w:i/>
          <w:iCs/>
          <w:sz w:val="20"/>
          <w:szCs w:val="20"/>
          <w:lang w:val="nl-NL"/>
        </w:rPr>
        <w:t xml:space="preserve"> </w:t>
      </w:r>
      <w:proofErr w:type="spellStart"/>
      <w:r w:rsidRPr="00F32BF1">
        <w:rPr>
          <w:rFonts w:ascii="Arial" w:hAnsi="Arial" w:cs="Arial"/>
          <w:i/>
          <w:iCs/>
          <w:sz w:val="20"/>
          <w:szCs w:val="20"/>
          <w:lang w:val="nl-NL"/>
        </w:rPr>
        <w:t>navigation</w:t>
      </w:r>
      <w:proofErr w:type="spellEnd"/>
      <w:r w:rsidRPr="00F32BF1">
        <w:rPr>
          <w:rFonts w:ascii="Arial" w:hAnsi="Arial" w:cs="Arial"/>
          <w:i/>
          <w:iCs/>
          <w:sz w:val="20"/>
          <w:szCs w:val="20"/>
          <w:lang w:val="nl-NL"/>
        </w:rPr>
        <w:t>, 27 maart 2020:</w:t>
      </w:r>
    </w:p>
    <w:p w14:paraId="24D85C99" w14:textId="6E6B6131" w:rsidR="00F32BF1" w:rsidRPr="00F32BF1" w:rsidRDefault="00F977C2" w:rsidP="006C3389">
      <w:pPr>
        <w:spacing w:after="0" w:line="240" w:lineRule="atLeast"/>
        <w:jc w:val="both"/>
        <w:rPr>
          <w:rFonts w:ascii="Arial" w:hAnsi="Arial" w:cs="Arial"/>
          <w:i/>
          <w:iCs/>
          <w:sz w:val="20"/>
          <w:szCs w:val="20"/>
          <w:lang w:val="nl-NL"/>
        </w:rPr>
      </w:pPr>
      <w:hyperlink r:id="rId7" w:history="1">
        <w:r w:rsidR="00F32BF1" w:rsidRPr="00F32BF1">
          <w:rPr>
            <w:rStyle w:val="Lienhypertexte"/>
            <w:rFonts w:ascii="Arial" w:eastAsia="Arial" w:hAnsi="Arial" w:cs="Arial"/>
            <w:i/>
            <w:iCs/>
            <w:sz w:val="20"/>
            <w:szCs w:val="20"/>
            <w:lang w:val="nl-NL"/>
          </w:rPr>
          <w:t>https://www.ccr-zkr.org/files/documents/covid19/20200327_CCNR_Economic_impacts.pdf</w:t>
        </w:r>
      </w:hyperlink>
    </w:p>
    <w:p w14:paraId="1B651142" w14:textId="77777777" w:rsidR="00F32BF1" w:rsidRPr="00F32BF1" w:rsidRDefault="00F32BF1" w:rsidP="00F32BF1">
      <w:pPr>
        <w:spacing w:after="0" w:line="240" w:lineRule="auto"/>
        <w:jc w:val="both"/>
        <w:rPr>
          <w:rFonts w:ascii="Arial" w:eastAsia="MS Mincho" w:hAnsi="Arial" w:cs="Arial"/>
          <w:sz w:val="20"/>
          <w:szCs w:val="20"/>
          <w:lang w:val="nl-NL"/>
        </w:rPr>
      </w:pPr>
    </w:p>
    <w:p w14:paraId="0F53C2E2" w14:textId="77777777" w:rsidR="00F32BF1" w:rsidRPr="00F32BF1" w:rsidRDefault="00F32BF1" w:rsidP="00F32BF1">
      <w:pPr>
        <w:spacing w:after="0" w:line="240" w:lineRule="auto"/>
        <w:jc w:val="both"/>
        <w:rPr>
          <w:rFonts w:ascii="Arial" w:eastAsia="MS Mincho" w:hAnsi="Arial" w:cs="Arial"/>
          <w:sz w:val="20"/>
          <w:szCs w:val="20"/>
          <w:lang w:val="nl-NL"/>
        </w:rPr>
      </w:pPr>
    </w:p>
    <w:p w14:paraId="1B680A88" w14:textId="77777777" w:rsidR="00F32BF1" w:rsidRPr="00F32BF1" w:rsidRDefault="00F32BF1" w:rsidP="00F32BF1">
      <w:pPr>
        <w:spacing w:after="0" w:line="240" w:lineRule="auto"/>
        <w:jc w:val="both"/>
        <w:rPr>
          <w:rFonts w:ascii="Arial" w:eastAsia="MS Mincho" w:hAnsi="Arial" w:cs="Arial"/>
          <w:b/>
          <w:bCs/>
          <w:sz w:val="20"/>
          <w:szCs w:val="20"/>
          <w:lang w:val="nl-NL"/>
        </w:rPr>
      </w:pPr>
      <w:r w:rsidRPr="00F32BF1">
        <w:rPr>
          <w:rFonts w:ascii="Arial" w:eastAsia="MS Mincho" w:hAnsi="Arial" w:cs="Arial"/>
          <w:b/>
          <w:bCs/>
          <w:sz w:val="20"/>
          <w:szCs w:val="20"/>
          <w:lang w:val="nl-NL"/>
        </w:rPr>
        <w:t>Bijlage</w:t>
      </w:r>
    </w:p>
    <w:p w14:paraId="0168C041" w14:textId="77777777" w:rsidR="00F32BF1" w:rsidRPr="00F32BF1" w:rsidRDefault="00F32BF1" w:rsidP="00F32BF1">
      <w:pPr>
        <w:rPr>
          <w:rFonts w:ascii="Arial" w:eastAsia="MS Mincho" w:hAnsi="Arial" w:cs="Arial"/>
          <w:b/>
          <w:bCs/>
          <w:sz w:val="20"/>
          <w:szCs w:val="20"/>
          <w:lang w:val="nl-NL"/>
        </w:rPr>
      </w:pPr>
      <w:r w:rsidRPr="00F32BF1">
        <w:rPr>
          <w:rFonts w:ascii="Arial" w:eastAsia="MS Mincho" w:hAnsi="Arial" w:cs="Arial"/>
          <w:b/>
          <w:bCs/>
          <w:sz w:val="20"/>
          <w:szCs w:val="20"/>
          <w:lang w:val="nl-NL"/>
        </w:rPr>
        <w:br w:type="page"/>
      </w:r>
    </w:p>
    <w:p w14:paraId="2AA41D9C" w14:textId="77777777" w:rsidR="00F32BF1" w:rsidRPr="00F32BF1" w:rsidRDefault="00F32BF1" w:rsidP="00F32BF1">
      <w:pPr>
        <w:spacing w:after="0" w:line="240" w:lineRule="auto"/>
        <w:jc w:val="right"/>
        <w:rPr>
          <w:rFonts w:ascii="Arial" w:eastAsia="MS Mincho" w:hAnsi="Arial" w:cs="Arial"/>
          <w:b/>
          <w:bCs/>
          <w:sz w:val="20"/>
          <w:szCs w:val="20"/>
          <w:lang w:val="nl-NL"/>
        </w:rPr>
      </w:pPr>
      <w:r w:rsidRPr="00F32BF1">
        <w:rPr>
          <w:rFonts w:ascii="Arial" w:eastAsia="MS Mincho" w:hAnsi="Arial" w:cs="Arial"/>
          <w:b/>
          <w:bCs/>
          <w:sz w:val="20"/>
          <w:szCs w:val="20"/>
          <w:lang w:val="nl-NL"/>
        </w:rPr>
        <w:lastRenderedPageBreak/>
        <w:t>Bijlage</w:t>
      </w:r>
    </w:p>
    <w:p w14:paraId="7510B2A6" w14:textId="77777777" w:rsidR="00F32BF1" w:rsidRPr="00F32BF1" w:rsidRDefault="00F32BF1" w:rsidP="00F32BF1">
      <w:pPr>
        <w:spacing w:after="0" w:line="240" w:lineRule="auto"/>
        <w:jc w:val="both"/>
        <w:rPr>
          <w:rFonts w:ascii="Arial" w:eastAsia="MS Mincho" w:hAnsi="Arial" w:cs="Arial"/>
          <w:b/>
          <w:bCs/>
          <w:sz w:val="20"/>
          <w:szCs w:val="20"/>
          <w:lang w:val="nl-NL"/>
        </w:rPr>
      </w:pPr>
    </w:p>
    <w:p w14:paraId="1CA292DD" w14:textId="27367016"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Besluit CDNI 2020-I-</w:t>
      </w:r>
      <w:r w:rsidR="004C6171">
        <w:rPr>
          <w:rFonts w:ascii="Arial" w:eastAsia="MS Mincho" w:hAnsi="Arial" w:cs="Arial"/>
          <w:b/>
          <w:lang w:val="nl-NL"/>
        </w:rPr>
        <w:t>2</w:t>
      </w:r>
    </w:p>
    <w:p w14:paraId="23E8F098"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p>
    <w:p w14:paraId="3A62B58F"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Deel A</w:t>
      </w:r>
    </w:p>
    <w:p w14:paraId="77DC0D95" w14:textId="39772841"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 xml:space="preserve">Verhoging van de verwijderingsbijdrage tot 8,50 euro </w:t>
      </w:r>
      <w:r w:rsidR="00714244">
        <w:rPr>
          <w:rFonts w:ascii="Arial" w:eastAsia="MS Mincho" w:hAnsi="Arial" w:cs="Arial"/>
          <w:b/>
          <w:lang w:val="nl-NL"/>
        </w:rPr>
        <w:t>met ingang van</w:t>
      </w:r>
      <w:r w:rsidRPr="00F32BF1">
        <w:rPr>
          <w:rFonts w:ascii="Arial" w:eastAsia="MS Mincho" w:hAnsi="Arial" w:cs="Arial"/>
          <w:b/>
          <w:lang w:val="nl-NL"/>
        </w:rPr>
        <w:t xml:space="preserve"> 1 januari 2021</w:t>
      </w:r>
    </w:p>
    <w:p w14:paraId="5001F6C7"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Wijziging van artikel 3.03 van de Uitvoeringsregeling</w:t>
      </w:r>
    </w:p>
    <w:p w14:paraId="76650EA0" w14:textId="35883EFF" w:rsidR="00F32BF1" w:rsidRPr="00F32BF1" w:rsidRDefault="004C6171" w:rsidP="00F32BF1">
      <w:pPr>
        <w:pStyle w:val="T1OJTechncotedoc"/>
        <w:ind w:left="0"/>
        <w:jc w:val="center"/>
        <w:rPr>
          <w:rFonts w:cs="Arial"/>
          <w:b/>
          <w:sz w:val="22"/>
          <w:szCs w:val="22"/>
          <w:lang w:val="nl-NL"/>
        </w:rPr>
      </w:pPr>
      <w:r>
        <w:rPr>
          <w:rFonts w:eastAsia="MS Mincho" w:cs="Arial"/>
          <w:b/>
          <w:sz w:val="22"/>
          <w:szCs w:val="22"/>
          <w:lang w:val="nl-NL"/>
        </w:rPr>
        <w:t>B</w:t>
      </w:r>
      <w:r w:rsidR="00F32BF1" w:rsidRPr="00F32BF1">
        <w:rPr>
          <w:rFonts w:eastAsia="MS Mincho" w:cs="Arial"/>
          <w:b/>
          <w:sz w:val="22"/>
          <w:szCs w:val="22"/>
          <w:lang w:val="nl-NL"/>
        </w:rPr>
        <w:t>esluit</w:t>
      </w:r>
    </w:p>
    <w:p w14:paraId="1DEF0444" w14:textId="77777777" w:rsidR="00F32BF1" w:rsidRPr="00F32BF1" w:rsidRDefault="00F32BF1" w:rsidP="00F32BF1">
      <w:pPr>
        <w:pStyle w:val="T1OJTechncotedoc"/>
        <w:ind w:left="0"/>
        <w:jc w:val="center"/>
        <w:rPr>
          <w:rFonts w:cs="Arial"/>
          <w:szCs w:val="20"/>
          <w:lang w:val="nl-NL"/>
        </w:rPr>
      </w:pPr>
    </w:p>
    <w:p w14:paraId="75836D28" w14:textId="77777777" w:rsidR="00F32BF1" w:rsidRPr="00F32BF1" w:rsidRDefault="00F32BF1" w:rsidP="00F32BF1">
      <w:pPr>
        <w:pStyle w:val="T1OJTechncotedoc"/>
        <w:ind w:left="0"/>
        <w:jc w:val="left"/>
        <w:rPr>
          <w:rFonts w:cs="Arial"/>
          <w:szCs w:val="20"/>
          <w:lang w:val="nl-NL"/>
        </w:rPr>
      </w:pPr>
    </w:p>
    <w:p w14:paraId="4DFF8A2C" w14:textId="77777777" w:rsidR="00F32BF1" w:rsidRPr="00F32BF1" w:rsidRDefault="00F32BF1" w:rsidP="00F32BF1">
      <w:pPr>
        <w:tabs>
          <w:tab w:val="left" w:pos="567"/>
        </w:tabs>
        <w:suppressAutoHyphens/>
        <w:spacing w:after="0" w:line="240" w:lineRule="atLeast"/>
        <w:rPr>
          <w:rFonts w:ascii="Arial" w:hAnsi="Arial" w:cs="Arial"/>
          <w:snapToGrid w:val="0"/>
          <w:sz w:val="20"/>
          <w:szCs w:val="24"/>
          <w:lang w:val="nl-NL"/>
        </w:rPr>
      </w:pPr>
      <w:r w:rsidRPr="00F32BF1">
        <w:rPr>
          <w:rFonts w:ascii="Arial" w:hAnsi="Arial" w:cs="Arial"/>
          <w:snapToGrid w:val="0"/>
          <w:sz w:val="20"/>
          <w:szCs w:val="24"/>
          <w:lang w:val="nl-NL"/>
        </w:rPr>
        <w:tab/>
        <w:t>De Conferentie der Verdragsluitende Partijen,</w:t>
      </w:r>
    </w:p>
    <w:p w14:paraId="5F649086" w14:textId="77777777" w:rsidR="00F32BF1" w:rsidRPr="00F32BF1" w:rsidRDefault="00F32BF1" w:rsidP="00F32BF1">
      <w:pPr>
        <w:suppressAutoHyphens/>
        <w:spacing w:after="0" w:line="240" w:lineRule="atLeast"/>
        <w:rPr>
          <w:rFonts w:ascii="Arial" w:hAnsi="Arial" w:cs="Arial"/>
          <w:snapToGrid w:val="0"/>
          <w:sz w:val="20"/>
          <w:szCs w:val="24"/>
          <w:lang w:val="nl-NL"/>
        </w:rPr>
      </w:pPr>
    </w:p>
    <w:p w14:paraId="30095D04" w14:textId="4E074817" w:rsidR="00F32BF1" w:rsidRPr="00F32BF1" w:rsidRDefault="00F32BF1" w:rsidP="00F32BF1">
      <w:pPr>
        <w:spacing w:after="0" w:line="240" w:lineRule="atLeast"/>
        <w:ind w:firstLine="567"/>
        <w:jc w:val="both"/>
        <w:rPr>
          <w:rFonts w:ascii="Arial" w:hAnsi="Arial" w:cs="Arial"/>
          <w:sz w:val="20"/>
          <w:szCs w:val="24"/>
          <w:lang w:val="nl-NL"/>
        </w:rPr>
      </w:pPr>
      <w:proofErr w:type="gramStart"/>
      <w:r w:rsidRPr="00F32BF1">
        <w:rPr>
          <w:rFonts w:ascii="Arial" w:hAnsi="Arial" w:cs="Arial"/>
          <w:sz w:val="20"/>
          <w:szCs w:val="24"/>
          <w:lang w:val="nl-NL"/>
        </w:rPr>
        <w:t>gezien</w:t>
      </w:r>
      <w:proofErr w:type="gramEnd"/>
      <w:r w:rsidRPr="00F32BF1">
        <w:rPr>
          <w:rFonts w:ascii="Arial" w:hAnsi="Arial" w:cs="Arial"/>
          <w:sz w:val="20"/>
          <w:szCs w:val="24"/>
          <w:lang w:val="nl-NL"/>
        </w:rPr>
        <w:t xml:space="preserve"> het Verdrag inzake de verzameling, afgifte en inname van afval in de Rijn- en binnenvaart </w:t>
      </w:r>
      <w:r w:rsidR="000B20D3">
        <w:rPr>
          <w:rFonts w:ascii="Arial" w:hAnsi="Arial" w:cs="Arial"/>
          <w:sz w:val="20"/>
          <w:szCs w:val="24"/>
          <w:lang w:val="nl-NL"/>
        </w:rPr>
        <w:t xml:space="preserve">(CDNI) </w:t>
      </w:r>
      <w:r w:rsidRPr="00F32BF1">
        <w:rPr>
          <w:rFonts w:ascii="Arial" w:hAnsi="Arial" w:cs="Arial"/>
          <w:sz w:val="20"/>
          <w:szCs w:val="24"/>
          <w:lang w:val="nl-NL"/>
        </w:rPr>
        <w:t xml:space="preserve">en met name artikel 6 van dit Verdrag </w:t>
      </w:r>
      <w:r w:rsidR="00637C40">
        <w:rPr>
          <w:rFonts w:ascii="Arial" w:hAnsi="Arial" w:cs="Arial"/>
          <w:sz w:val="20"/>
          <w:szCs w:val="24"/>
          <w:lang w:val="nl-NL"/>
        </w:rPr>
        <w:t>alsook</w:t>
      </w:r>
      <w:r w:rsidRPr="00F32BF1">
        <w:rPr>
          <w:rFonts w:ascii="Arial" w:hAnsi="Arial" w:cs="Arial"/>
          <w:sz w:val="20"/>
          <w:szCs w:val="24"/>
          <w:lang w:val="nl-NL"/>
        </w:rPr>
        <w:t xml:space="preserve"> artikel 3.03 van de bijbehorende Uitvoeringsregeling,</w:t>
      </w:r>
    </w:p>
    <w:p w14:paraId="7242315A" w14:textId="77777777" w:rsidR="00F32BF1" w:rsidRPr="00F32BF1" w:rsidRDefault="00F32BF1" w:rsidP="00F32BF1">
      <w:pPr>
        <w:suppressAutoHyphens/>
        <w:spacing w:after="0" w:line="240" w:lineRule="atLeast"/>
        <w:jc w:val="both"/>
        <w:rPr>
          <w:rFonts w:ascii="Arial" w:hAnsi="Arial" w:cs="Arial"/>
          <w:snapToGrid w:val="0"/>
          <w:sz w:val="20"/>
          <w:szCs w:val="24"/>
          <w:lang w:val="nl-NL"/>
        </w:rPr>
      </w:pPr>
    </w:p>
    <w:p w14:paraId="706C2DCC" w14:textId="333F3D05" w:rsidR="00F32BF1" w:rsidRPr="00F32BF1" w:rsidRDefault="00F32BF1" w:rsidP="00F32BF1">
      <w:pPr>
        <w:tabs>
          <w:tab w:val="left" w:pos="567"/>
        </w:tabs>
        <w:suppressAutoHyphens/>
        <w:spacing w:after="0" w:line="240" w:lineRule="atLeast"/>
        <w:jc w:val="both"/>
        <w:rPr>
          <w:rFonts w:ascii="Arial" w:hAnsi="Arial" w:cs="Arial"/>
          <w:snapToGrid w:val="0"/>
          <w:sz w:val="20"/>
          <w:szCs w:val="24"/>
          <w:lang w:val="nl-NL"/>
        </w:rPr>
      </w:pPr>
      <w:r w:rsidRPr="00F32BF1">
        <w:rPr>
          <w:rFonts w:ascii="Arial" w:hAnsi="Arial" w:cs="Arial"/>
          <w:snapToGrid w:val="0"/>
          <w:sz w:val="20"/>
          <w:szCs w:val="24"/>
          <w:lang w:val="nl-NL"/>
        </w:rPr>
        <w:tab/>
      </w:r>
      <w:proofErr w:type="gramStart"/>
      <w:r w:rsidRPr="00F32BF1">
        <w:rPr>
          <w:rFonts w:ascii="Arial" w:hAnsi="Arial" w:cs="Arial"/>
          <w:snapToGrid w:val="0"/>
          <w:sz w:val="20"/>
          <w:szCs w:val="24"/>
          <w:lang w:val="nl-NL"/>
        </w:rPr>
        <w:t>gezien</w:t>
      </w:r>
      <w:proofErr w:type="gramEnd"/>
      <w:r w:rsidRPr="00F32BF1">
        <w:rPr>
          <w:rFonts w:ascii="Arial" w:hAnsi="Arial" w:cs="Arial"/>
          <w:snapToGrid w:val="0"/>
          <w:sz w:val="20"/>
          <w:szCs w:val="24"/>
          <w:lang w:val="nl-NL"/>
        </w:rPr>
        <w:t xml:space="preserve"> het voorstel van het IVC van 14 november 2019 dat </w:t>
      </w:r>
      <w:r w:rsidR="00637C40">
        <w:rPr>
          <w:rFonts w:ascii="Arial" w:hAnsi="Arial" w:cs="Arial"/>
          <w:snapToGrid w:val="0"/>
          <w:sz w:val="20"/>
          <w:szCs w:val="24"/>
          <w:lang w:val="nl-NL"/>
        </w:rPr>
        <w:t>overeenkomstig</w:t>
      </w:r>
      <w:r w:rsidRPr="00F32BF1">
        <w:rPr>
          <w:rFonts w:ascii="Arial" w:hAnsi="Arial" w:cs="Arial"/>
          <w:snapToGrid w:val="0"/>
          <w:sz w:val="20"/>
          <w:szCs w:val="24"/>
          <w:lang w:val="nl-NL"/>
        </w:rPr>
        <w:t xml:space="preserve"> artikel 4.01, eerste lid, van de Uitvoeringsregeling van het Verdrag is voorgelegd,</w:t>
      </w:r>
    </w:p>
    <w:p w14:paraId="0125DEBA" w14:textId="77777777" w:rsidR="00F32BF1" w:rsidRPr="00F32BF1" w:rsidRDefault="00F32BF1" w:rsidP="00F32BF1">
      <w:pPr>
        <w:suppressAutoHyphens/>
        <w:spacing w:after="0" w:line="240" w:lineRule="atLeast"/>
        <w:jc w:val="both"/>
        <w:rPr>
          <w:rFonts w:ascii="Arial" w:hAnsi="Arial" w:cs="Arial"/>
          <w:snapToGrid w:val="0"/>
          <w:sz w:val="20"/>
          <w:szCs w:val="24"/>
          <w:lang w:val="nl-NL"/>
        </w:rPr>
      </w:pPr>
    </w:p>
    <w:p w14:paraId="24DE438A"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roofErr w:type="gramStart"/>
      <w:r w:rsidRPr="00F32BF1">
        <w:rPr>
          <w:rFonts w:ascii="Arial" w:hAnsi="Arial" w:cs="Arial"/>
          <w:snapToGrid w:val="0"/>
          <w:sz w:val="20"/>
          <w:szCs w:val="24"/>
          <w:lang w:val="nl-NL"/>
        </w:rPr>
        <w:t>gezien</w:t>
      </w:r>
      <w:proofErr w:type="gramEnd"/>
      <w:r w:rsidRPr="00F32BF1">
        <w:rPr>
          <w:rFonts w:ascii="Arial" w:hAnsi="Arial" w:cs="Arial"/>
          <w:snapToGrid w:val="0"/>
          <w:sz w:val="20"/>
          <w:szCs w:val="24"/>
          <w:lang w:val="nl-NL"/>
        </w:rPr>
        <w:t xml:space="preserve"> het verslag van het IVC van 20 november 2019 met betrekking tot het beheer van het financieringssysteem overeenkomstig artikel 6 van het CDNI,</w:t>
      </w:r>
    </w:p>
    <w:p w14:paraId="7DD1C0EC" w14:textId="77777777" w:rsidR="00F32BF1" w:rsidRPr="00F32BF1" w:rsidRDefault="00F32BF1" w:rsidP="00F32BF1">
      <w:pPr>
        <w:tabs>
          <w:tab w:val="left" w:pos="567"/>
        </w:tabs>
        <w:suppressAutoHyphens/>
        <w:spacing w:after="0" w:line="240" w:lineRule="atLeast"/>
        <w:jc w:val="both"/>
        <w:rPr>
          <w:rFonts w:ascii="Arial" w:hAnsi="Arial" w:cs="Arial"/>
          <w:snapToGrid w:val="0"/>
          <w:sz w:val="20"/>
          <w:szCs w:val="24"/>
          <w:lang w:val="nl-NL"/>
        </w:rPr>
      </w:pPr>
    </w:p>
    <w:p w14:paraId="72E3277D" w14:textId="32435E01"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roofErr w:type="gramStart"/>
      <w:r w:rsidRPr="00F32BF1">
        <w:rPr>
          <w:rFonts w:ascii="Arial" w:hAnsi="Arial" w:cs="Arial"/>
          <w:snapToGrid w:val="0"/>
          <w:sz w:val="20"/>
          <w:szCs w:val="24"/>
          <w:lang w:val="nl-NL"/>
        </w:rPr>
        <w:t>wetende</w:t>
      </w:r>
      <w:proofErr w:type="gramEnd"/>
      <w:r w:rsidRPr="00F32BF1">
        <w:rPr>
          <w:rFonts w:ascii="Arial" w:hAnsi="Arial" w:cs="Arial"/>
          <w:snapToGrid w:val="0"/>
          <w:sz w:val="20"/>
          <w:szCs w:val="24"/>
          <w:lang w:val="nl-NL"/>
        </w:rPr>
        <w:t xml:space="preserve"> dat de kosten voor de verzameling en verwijdering van olie- en vethoudende scheepsbedrijfsafvalstoffen </w:t>
      </w:r>
      <w:r w:rsidR="00A437EC">
        <w:rPr>
          <w:rFonts w:ascii="Arial" w:hAnsi="Arial" w:cs="Arial"/>
          <w:snapToGrid w:val="0"/>
          <w:sz w:val="20"/>
          <w:szCs w:val="24"/>
          <w:lang w:val="nl-NL"/>
        </w:rPr>
        <w:t xml:space="preserve">sinds 2018 </w:t>
      </w:r>
      <w:r w:rsidRPr="00F32BF1">
        <w:rPr>
          <w:rFonts w:ascii="Arial" w:hAnsi="Arial" w:cs="Arial"/>
          <w:snapToGrid w:val="0"/>
          <w:sz w:val="20"/>
          <w:szCs w:val="24"/>
          <w:lang w:val="nl-NL"/>
        </w:rPr>
        <w:t>niet meer gedekt worden door de opbrengsten uit de verwijderingsbijdrage,</w:t>
      </w:r>
    </w:p>
    <w:p w14:paraId="0F6ED17C" w14:textId="77777777" w:rsidR="00F32BF1" w:rsidRPr="00F32BF1" w:rsidRDefault="00F32BF1" w:rsidP="00F32BF1">
      <w:pPr>
        <w:suppressAutoHyphens/>
        <w:spacing w:after="0" w:line="240" w:lineRule="atLeast"/>
        <w:ind w:firstLine="708"/>
        <w:jc w:val="both"/>
        <w:rPr>
          <w:rFonts w:ascii="Arial" w:hAnsi="Arial" w:cs="Arial"/>
          <w:snapToGrid w:val="0"/>
          <w:sz w:val="20"/>
          <w:szCs w:val="24"/>
          <w:lang w:val="nl-NL"/>
        </w:rPr>
      </w:pPr>
    </w:p>
    <w:p w14:paraId="29674B41"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roofErr w:type="gramStart"/>
      <w:r w:rsidRPr="00F32BF1">
        <w:rPr>
          <w:rFonts w:ascii="Arial" w:hAnsi="Arial" w:cs="Arial"/>
          <w:snapToGrid w:val="0"/>
          <w:sz w:val="20"/>
          <w:szCs w:val="24"/>
          <w:lang w:val="nl-NL"/>
        </w:rPr>
        <w:t>overwegende</w:t>
      </w:r>
      <w:proofErr w:type="gramEnd"/>
      <w:r w:rsidRPr="00F32BF1">
        <w:rPr>
          <w:rFonts w:ascii="Arial" w:hAnsi="Arial" w:cs="Arial"/>
          <w:snapToGrid w:val="0"/>
          <w:sz w:val="20"/>
          <w:szCs w:val="24"/>
          <w:lang w:val="nl-NL"/>
        </w:rPr>
        <w:t xml:space="preserve"> dat dit tekort op korte termijn niet meer gecompenseerd zal kunnen worden door de sinds 2011 gecumuleerde overschotten,</w:t>
      </w:r>
    </w:p>
    <w:p w14:paraId="7ABEC1D8" w14:textId="77777777" w:rsidR="00F32BF1" w:rsidRPr="00F32BF1" w:rsidRDefault="00F32BF1" w:rsidP="00F32BF1">
      <w:pPr>
        <w:suppressAutoHyphens/>
        <w:spacing w:after="0" w:line="240" w:lineRule="atLeast"/>
        <w:ind w:firstLine="708"/>
        <w:jc w:val="both"/>
        <w:rPr>
          <w:rFonts w:ascii="Arial" w:hAnsi="Arial" w:cs="Arial"/>
          <w:snapToGrid w:val="0"/>
          <w:sz w:val="20"/>
          <w:szCs w:val="24"/>
          <w:lang w:val="nl-NL"/>
        </w:rPr>
      </w:pPr>
    </w:p>
    <w:p w14:paraId="031F7562" w14:textId="61A9B39F" w:rsidR="00F32BF1" w:rsidRPr="00F32BF1" w:rsidRDefault="00F32BF1" w:rsidP="00F32BF1">
      <w:pPr>
        <w:tabs>
          <w:tab w:val="left" w:pos="567"/>
        </w:tabs>
        <w:suppressAutoHyphens/>
        <w:spacing w:after="0" w:line="240" w:lineRule="atLeast"/>
        <w:jc w:val="both"/>
        <w:rPr>
          <w:rFonts w:ascii="Arial" w:hAnsi="Arial" w:cs="Arial"/>
          <w:snapToGrid w:val="0"/>
          <w:sz w:val="20"/>
          <w:szCs w:val="24"/>
          <w:lang w:val="nl-NL"/>
        </w:rPr>
      </w:pPr>
      <w:r w:rsidRPr="00F32BF1">
        <w:rPr>
          <w:rFonts w:ascii="Arial" w:hAnsi="Arial" w:cs="Arial"/>
          <w:snapToGrid w:val="0"/>
          <w:sz w:val="20"/>
          <w:szCs w:val="24"/>
          <w:lang w:val="nl-NL"/>
        </w:rPr>
        <w:tab/>
      </w:r>
      <w:proofErr w:type="gramStart"/>
      <w:r w:rsidRPr="00F32BF1">
        <w:rPr>
          <w:rFonts w:ascii="Arial" w:hAnsi="Arial" w:cs="Arial"/>
          <w:snapToGrid w:val="0"/>
          <w:sz w:val="20"/>
          <w:szCs w:val="24"/>
          <w:lang w:val="nl-NL"/>
        </w:rPr>
        <w:t>gezien</w:t>
      </w:r>
      <w:proofErr w:type="gramEnd"/>
      <w:r w:rsidRPr="00F32BF1">
        <w:rPr>
          <w:rFonts w:ascii="Arial" w:hAnsi="Arial" w:cs="Arial"/>
          <w:snapToGrid w:val="0"/>
          <w:sz w:val="20"/>
          <w:szCs w:val="24"/>
          <w:lang w:val="nl-NL"/>
        </w:rPr>
        <w:t xml:space="preserve"> Besluit CDNI 2019-II-3 waarbij zij </w:t>
      </w:r>
      <w:r w:rsidR="005E618A">
        <w:rPr>
          <w:rFonts w:ascii="Arial" w:hAnsi="Arial" w:cs="Arial"/>
          <w:snapToGrid w:val="0"/>
          <w:sz w:val="20"/>
          <w:szCs w:val="24"/>
          <w:lang w:val="nl-NL"/>
        </w:rPr>
        <w:t>het voornemen heeft uitgesproken</w:t>
      </w:r>
      <w:r w:rsidRPr="00F32BF1">
        <w:rPr>
          <w:rFonts w:ascii="Arial" w:hAnsi="Arial" w:cs="Arial"/>
          <w:snapToGrid w:val="0"/>
          <w:sz w:val="20"/>
          <w:szCs w:val="24"/>
          <w:lang w:val="nl-NL"/>
        </w:rPr>
        <w:t xml:space="preserve"> het </w:t>
      </w:r>
      <w:r w:rsidR="00A437EC">
        <w:rPr>
          <w:rFonts w:ascii="Arial" w:hAnsi="Arial" w:cs="Arial"/>
          <w:snapToGrid w:val="0"/>
          <w:sz w:val="20"/>
          <w:szCs w:val="24"/>
          <w:lang w:val="nl-NL"/>
        </w:rPr>
        <w:t xml:space="preserve">sinds 2011 ongewijzigd gebleven </w:t>
      </w:r>
      <w:r w:rsidRPr="00F32BF1">
        <w:rPr>
          <w:rFonts w:ascii="Arial" w:hAnsi="Arial" w:cs="Arial"/>
          <w:snapToGrid w:val="0"/>
          <w:sz w:val="20"/>
          <w:szCs w:val="24"/>
          <w:lang w:val="nl-NL"/>
        </w:rPr>
        <w:t xml:space="preserve">tarief van de verwijderingsbijdrage </w:t>
      </w:r>
      <w:r w:rsidR="00A437EC">
        <w:rPr>
          <w:rFonts w:ascii="Arial" w:hAnsi="Arial" w:cs="Arial"/>
          <w:snapToGrid w:val="0"/>
          <w:sz w:val="20"/>
          <w:szCs w:val="24"/>
          <w:lang w:val="nl-NL"/>
        </w:rPr>
        <w:t xml:space="preserve">van 7,50 euro </w:t>
      </w:r>
      <w:r w:rsidR="000B20D3">
        <w:rPr>
          <w:rFonts w:ascii="Arial" w:hAnsi="Arial" w:cs="Arial"/>
          <w:snapToGrid w:val="0"/>
          <w:sz w:val="20"/>
          <w:szCs w:val="24"/>
          <w:lang w:val="nl-NL"/>
        </w:rPr>
        <w:t>met ingang van</w:t>
      </w:r>
      <w:r w:rsidRPr="00F32BF1">
        <w:rPr>
          <w:rFonts w:ascii="Arial" w:hAnsi="Arial" w:cs="Arial"/>
          <w:snapToGrid w:val="0"/>
          <w:sz w:val="20"/>
          <w:szCs w:val="24"/>
          <w:lang w:val="nl-NL"/>
        </w:rPr>
        <w:t xml:space="preserve"> 1 januari 2021 te verhogen tot 8,50 euro per 1000 l</w:t>
      </w:r>
      <w:r w:rsidR="000B20D3">
        <w:rPr>
          <w:rFonts w:ascii="Arial" w:hAnsi="Arial" w:cs="Arial"/>
          <w:snapToGrid w:val="0"/>
          <w:sz w:val="20"/>
          <w:szCs w:val="24"/>
          <w:lang w:val="nl-NL"/>
        </w:rPr>
        <w:t>iter</w:t>
      </w:r>
      <w:r w:rsidRPr="00F32BF1">
        <w:rPr>
          <w:rFonts w:ascii="Arial" w:hAnsi="Arial" w:cs="Arial"/>
          <w:snapToGrid w:val="0"/>
          <w:sz w:val="20"/>
          <w:szCs w:val="24"/>
          <w:lang w:val="nl-NL"/>
        </w:rPr>
        <w:t xml:space="preserve"> accijnsvrije gasolie,</w:t>
      </w:r>
    </w:p>
    <w:p w14:paraId="68E6D218" w14:textId="55657E98" w:rsidR="00F32BF1" w:rsidRDefault="00F32BF1" w:rsidP="00F32BF1">
      <w:pPr>
        <w:suppressAutoHyphens/>
        <w:spacing w:after="0" w:line="240" w:lineRule="atLeast"/>
        <w:ind w:firstLine="567"/>
        <w:jc w:val="both"/>
        <w:rPr>
          <w:rFonts w:ascii="Arial" w:hAnsi="Arial" w:cs="Arial"/>
          <w:snapToGrid w:val="0"/>
          <w:sz w:val="20"/>
          <w:szCs w:val="24"/>
          <w:lang w:val="nl-NL"/>
        </w:rPr>
      </w:pPr>
    </w:p>
    <w:p w14:paraId="31B67B71" w14:textId="465CC828" w:rsidR="00A437EC" w:rsidRDefault="00A437EC" w:rsidP="00F32BF1">
      <w:pPr>
        <w:suppressAutoHyphens/>
        <w:spacing w:after="0" w:line="240" w:lineRule="atLeast"/>
        <w:ind w:firstLine="567"/>
        <w:jc w:val="both"/>
        <w:rPr>
          <w:rFonts w:ascii="Arial" w:hAnsi="Arial" w:cs="Arial"/>
          <w:snapToGrid w:val="0"/>
          <w:sz w:val="20"/>
          <w:szCs w:val="24"/>
          <w:lang w:val="nl-NL"/>
        </w:rPr>
      </w:pPr>
      <w:proofErr w:type="gramStart"/>
      <w:r>
        <w:rPr>
          <w:rFonts w:ascii="Arial" w:hAnsi="Arial" w:cs="Arial"/>
          <w:snapToGrid w:val="0"/>
          <w:sz w:val="20"/>
          <w:szCs w:val="24"/>
          <w:lang w:val="nl-NL"/>
        </w:rPr>
        <w:t>besluit</w:t>
      </w:r>
      <w:proofErr w:type="gramEnd"/>
      <w:r>
        <w:rPr>
          <w:rFonts w:ascii="Arial" w:hAnsi="Arial" w:cs="Arial"/>
          <w:snapToGrid w:val="0"/>
          <w:sz w:val="20"/>
          <w:szCs w:val="24"/>
          <w:lang w:val="nl-NL"/>
        </w:rPr>
        <w:t xml:space="preserve"> het tarief van de verwijderingsbijdrage met ingang van 1 januari 2021 te verhogen tot 8,50 euro per 1000 liter accijnsvrije gasolie,</w:t>
      </w:r>
    </w:p>
    <w:p w14:paraId="7D28E347" w14:textId="77777777" w:rsidR="00A437EC" w:rsidRPr="00F32BF1" w:rsidRDefault="00A437EC" w:rsidP="00F32BF1">
      <w:pPr>
        <w:suppressAutoHyphens/>
        <w:spacing w:after="0" w:line="240" w:lineRule="atLeast"/>
        <w:ind w:firstLine="567"/>
        <w:jc w:val="both"/>
        <w:rPr>
          <w:rFonts w:ascii="Arial" w:hAnsi="Arial" w:cs="Arial"/>
          <w:snapToGrid w:val="0"/>
          <w:sz w:val="20"/>
          <w:szCs w:val="24"/>
          <w:lang w:val="nl-NL"/>
        </w:rPr>
      </w:pPr>
    </w:p>
    <w:p w14:paraId="7A16C3FA"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roofErr w:type="gramStart"/>
      <w:r w:rsidRPr="00F32BF1">
        <w:rPr>
          <w:rFonts w:ascii="Arial" w:hAnsi="Arial" w:cs="Arial"/>
          <w:snapToGrid w:val="0"/>
          <w:sz w:val="20"/>
          <w:szCs w:val="24"/>
          <w:lang w:val="nl-NL"/>
        </w:rPr>
        <w:t>besluit</w:t>
      </w:r>
      <w:proofErr w:type="gramEnd"/>
      <w:r w:rsidRPr="00F32BF1">
        <w:rPr>
          <w:rFonts w:ascii="Arial" w:hAnsi="Arial" w:cs="Arial"/>
          <w:snapToGrid w:val="0"/>
          <w:sz w:val="20"/>
          <w:szCs w:val="24"/>
          <w:lang w:val="nl-NL"/>
        </w:rPr>
        <w:t xml:space="preserve"> artikel 3.03 van de Uitvoeringsregeling overeenkomstig te wijzigen,</w:t>
      </w:r>
    </w:p>
    <w:p w14:paraId="566935D2"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
    <w:p w14:paraId="1D4297A0"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roofErr w:type="gramStart"/>
      <w:r w:rsidRPr="00F32BF1">
        <w:rPr>
          <w:rFonts w:ascii="Arial" w:hAnsi="Arial" w:cs="Arial"/>
          <w:snapToGrid w:val="0"/>
          <w:sz w:val="20"/>
          <w:szCs w:val="24"/>
          <w:lang w:val="nl-NL"/>
        </w:rPr>
        <w:t>draagt</w:t>
      </w:r>
      <w:proofErr w:type="gramEnd"/>
      <w:r w:rsidRPr="00F32BF1">
        <w:rPr>
          <w:rFonts w:ascii="Arial" w:hAnsi="Arial" w:cs="Arial"/>
          <w:snapToGrid w:val="0"/>
          <w:sz w:val="20"/>
          <w:szCs w:val="24"/>
          <w:lang w:val="nl-NL"/>
        </w:rPr>
        <w:t xml:space="preserve"> het secretariaat op de nodige maatregelen te treffen voor de technische aanpassing van het elektronische betalingssysteem van het CDNI (SPE-CDNI) om de verhoging van de verwijderingsbijdrage per 1 januari 2021 operationeel te maken.</w:t>
      </w:r>
    </w:p>
    <w:p w14:paraId="1EBFA2E7"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p>
    <w:p w14:paraId="38D94039" w14:textId="77777777" w:rsidR="00F32BF1" w:rsidRPr="00F32BF1" w:rsidRDefault="00F32BF1" w:rsidP="00F32BF1">
      <w:pPr>
        <w:suppressAutoHyphens/>
        <w:spacing w:after="0" w:line="240" w:lineRule="atLeast"/>
        <w:ind w:firstLine="567"/>
        <w:jc w:val="both"/>
        <w:rPr>
          <w:rFonts w:ascii="Arial" w:hAnsi="Arial" w:cs="Arial"/>
          <w:snapToGrid w:val="0"/>
          <w:sz w:val="20"/>
          <w:szCs w:val="24"/>
          <w:lang w:val="nl-NL"/>
        </w:rPr>
      </w:pPr>
      <w:r w:rsidRPr="00F32BF1">
        <w:rPr>
          <w:rFonts w:ascii="Arial" w:hAnsi="Arial" w:cs="Arial"/>
          <w:snapToGrid w:val="0"/>
          <w:sz w:val="20"/>
          <w:szCs w:val="24"/>
          <w:lang w:val="nl-NL"/>
        </w:rPr>
        <w:t>De bijgevoegde wijziging treedt in werking op 1 januari 2021.</w:t>
      </w:r>
    </w:p>
    <w:p w14:paraId="0181AF6A" w14:textId="77777777" w:rsidR="00F32BF1" w:rsidRPr="00F32BF1" w:rsidRDefault="00F32BF1" w:rsidP="00F32BF1">
      <w:pPr>
        <w:spacing w:after="0" w:line="240" w:lineRule="atLeast"/>
        <w:rPr>
          <w:rFonts w:ascii="Arial" w:hAnsi="Arial" w:cs="Arial"/>
          <w:sz w:val="20"/>
          <w:szCs w:val="24"/>
          <w:lang w:val="nl-NL"/>
        </w:rPr>
      </w:pPr>
    </w:p>
    <w:p w14:paraId="67332DC7" w14:textId="77777777" w:rsidR="00F32BF1" w:rsidRPr="00F32BF1" w:rsidRDefault="00F32BF1" w:rsidP="00F32BF1">
      <w:pPr>
        <w:spacing w:after="0" w:line="240" w:lineRule="atLeast"/>
        <w:rPr>
          <w:rFonts w:ascii="Arial" w:hAnsi="Arial" w:cs="Arial"/>
          <w:sz w:val="20"/>
          <w:szCs w:val="24"/>
          <w:lang w:val="nl-NL"/>
        </w:rPr>
      </w:pPr>
    </w:p>
    <w:p w14:paraId="317014F2" w14:textId="77777777" w:rsidR="00F32BF1" w:rsidRPr="00F32BF1" w:rsidRDefault="00F32BF1" w:rsidP="00F32BF1">
      <w:pPr>
        <w:tabs>
          <w:tab w:val="left" w:pos="993"/>
          <w:tab w:val="center" w:pos="4536"/>
          <w:tab w:val="right" w:pos="9072"/>
        </w:tabs>
        <w:autoSpaceDE w:val="0"/>
        <w:autoSpaceDN w:val="0"/>
        <w:adjustRightInd w:val="0"/>
        <w:spacing w:after="0" w:line="240" w:lineRule="atLeast"/>
        <w:ind w:left="990" w:hanging="990"/>
        <w:jc w:val="both"/>
        <w:rPr>
          <w:rFonts w:ascii="Arial" w:hAnsi="Arial" w:cs="Arial"/>
          <w:sz w:val="20"/>
          <w:szCs w:val="20"/>
          <w:lang w:val="nl-NL"/>
        </w:rPr>
      </w:pPr>
      <w:r w:rsidRPr="00F32BF1">
        <w:rPr>
          <w:rFonts w:ascii="Arial" w:hAnsi="Arial" w:cs="Arial"/>
          <w:sz w:val="20"/>
          <w:szCs w:val="20"/>
          <w:lang w:val="nl-NL"/>
        </w:rPr>
        <w:t>Bijlage:</w:t>
      </w:r>
      <w:r w:rsidRPr="00F32BF1">
        <w:rPr>
          <w:rFonts w:ascii="Arial" w:hAnsi="Arial" w:cs="Arial"/>
          <w:sz w:val="20"/>
          <w:szCs w:val="20"/>
          <w:lang w:val="nl-NL"/>
        </w:rPr>
        <w:tab/>
        <w:t>Wijziging van artikel 3.03 van de Uitvoeringsregeling</w:t>
      </w:r>
    </w:p>
    <w:p w14:paraId="33E04B33" w14:textId="77777777" w:rsidR="00F32BF1" w:rsidRPr="00F32BF1" w:rsidRDefault="00F32BF1" w:rsidP="00F32BF1">
      <w:pPr>
        <w:rPr>
          <w:rFonts w:cs="Arial"/>
          <w:szCs w:val="20"/>
          <w:lang w:val="nl-NL"/>
        </w:rPr>
      </w:pPr>
      <w:r w:rsidRPr="00F32BF1">
        <w:rPr>
          <w:rFonts w:cs="Arial"/>
          <w:szCs w:val="20"/>
          <w:lang w:val="nl-NL"/>
        </w:rPr>
        <w:br w:type="page"/>
      </w:r>
    </w:p>
    <w:p w14:paraId="3EB1C1B6" w14:textId="77777777" w:rsidR="00F32BF1" w:rsidRPr="00F32BF1" w:rsidRDefault="00F32BF1" w:rsidP="00F32BF1">
      <w:pPr>
        <w:pStyle w:val="T1OJTechncotedoc"/>
        <w:ind w:left="0"/>
        <w:jc w:val="right"/>
        <w:rPr>
          <w:rFonts w:cs="Arial"/>
          <w:b/>
          <w:bCs/>
          <w:szCs w:val="20"/>
          <w:lang w:val="nl-NL"/>
        </w:rPr>
      </w:pPr>
      <w:r w:rsidRPr="00F32BF1">
        <w:rPr>
          <w:rFonts w:cs="Arial"/>
          <w:b/>
          <w:bCs/>
          <w:szCs w:val="20"/>
          <w:lang w:val="nl-NL"/>
        </w:rPr>
        <w:lastRenderedPageBreak/>
        <w:t>Bijlage bij Besluit CDNI 2020-I-xx</w:t>
      </w:r>
    </w:p>
    <w:p w14:paraId="44614952"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p>
    <w:p w14:paraId="63469F56" w14:textId="0C440A51"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 xml:space="preserve">Verhoging van de verwijderingsbijdrage tot 8,50 euro </w:t>
      </w:r>
      <w:r w:rsidR="00714244">
        <w:rPr>
          <w:rFonts w:ascii="Arial" w:eastAsia="MS Mincho" w:hAnsi="Arial" w:cs="Arial"/>
          <w:b/>
          <w:lang w:val="nl-NL"/>
        </w:rPr>
        <w:t xml:space="preserve">met ingang </w:t>
      </w:r>
      <w:r w:rsidRPr="00F32BF1">
        <w:rPr>
          <w:rFonts w:ascii="Arial" w:eastAsia="MS Mincho" w:hAnsi="Arial" w:cs="Arial"/>
          <w:b/>
          <w:lang w:val="nl-NL"/>
        </w:rPr>
        <w:t>van 1 januari 2021</w:t>
      </w:r>
    </w:p>
    <w:p w14:paraId="275B8A33" w14:textId="77777777" w:rsidR="00F32BF1" w:rsidRPr="00F32BF1" w:rsidRDefault="00F32BF1" w:rsidP="00F32BF1">
      <w:pPr>
        <w:autoSpaceDE w:val="0"/>
        <w:autoSpaceDN w:val="0"/>
        <w:adjustRightInd w:val="0"/>
        <w:spacing w:after="0" w:line="220" w:lineRule="atLeast"/>
        <w:jc w:val="center"/>
        <w:rPr>
          <w:rFonts w:ascii="Arial" w:eastAsia="MS Mincho" w:hAnsi="Arial" w:cs="Arial"/>
          <w:b/>
          <w:lang w:val="nl-NL"/>
        </w:rPr>
      </w:pPr>
      <w:r w:rsidRPr="00F32BF1">
        <w:rPr>
          <w:rFonts w:ascii="Arial" w:eastAsia="MS Mincho" w:hAnsi="Arial" w:cs="Arial"/>
          <w:b/>
          <w:lang w:val="nl-NL"/>
        </w:rPr>
        <w:t>Wijziging van artikel 3.03 van de Uitvoeringsregeling</w:t>
      </w:r>
    </w:p>
    <w:p w14:paraId="7DD185D7" w14:textId="77777777" w:rsidR="00F32BF1" w:rsidRPr="00F32BF1" w:rsidRDefault="00F32BF1" w:rsidP="00F32BF1">
      <w:pPr>
        <w:pStyle w:val="T1OJTechncotedoc"/>
        <w:tabs>
          <w:tab w:val="clear" w:pos="567"/>
        </w:tabs>
        <w:ind w:left="0"/>
        <w:rPr>
          <w:rFonts w:cs="Arial"/>
          <w:i/>
          <w:iCs/>
          <w:szCs w:val="20"/>
          <w:lang w:val="nl-NL"/>
        </w:rPr>
      </w:pPr>
    </w:p>
    <w:p w14:paraId="6A087599" w14:textId="77777777" w:rsidR="00F32BF1" w:rsidRPr="00F32BF1" w:rsidRDefault="00F32BF1" w:rsidP="00F32BF1">
      <w:pPr>
        <w:pStyle w:val="T1OJTechncotedoc"/>
        <w:tabs>
          <w:tab w:val="clear" w:pos="567"/>
        </w:tabs>
        <w:ind w:left="0"/>
        <w:rPr>
          <w:rFonts w:cs="Arial"/>
          <w:i/>
          <w:iCs/>
          <w:szCs w:val="20"/>
          <w:lang w:val="nl-NL"/>
        </w:rPr>
      </w:pPr>
    </w:p>
    <w:p w14:paraId="61946F62" w14:textId="77777777" w:rsidR="00F32BF1" w:rsidRPr="00F32BF1" w:rsidRDefault="00F32BF1" w:rsidP="00F32BF1">
      <w:pPr>
        <w:pStyle w:val="T1OJTechncotedoc"/>
        <w:tabs>
          <w:tab w:val="clear" w:pos="567"/>
        </w:tabs>
        <w:ind w:left="0"/>
        <w:rPr>
          <w:rFonts w:cs="Arial"/>
          <w:i/>
          <w:iCs/>
          <w:szCs w:val="20"/>
          <w:lang w:val="nl-NL"/>
        </w:rPr>
      </w:pPr>
      <w:r w:rsidRPr="00F32BF1">
        <w:rPr>
          <w:rFonts w:cs="Arial"/>
          <w:i/>
          <w:iCs/>
          <w:szCs w:val="20"/>
          <w:lang w:val="nl-NL"/>
        </w:rPr>
        <w:t>Artikel 3.03, eerste lid, van de Uitvoeringsregeling wordt als volgt gewijzigd:</w:t>
      </w:r>
    </w:p>
    <w:p w14:paraId="1681E5A9" w14:textId="77777777" w:rsidR="00F32BF1" w:rsidRPr="00F32BF1" w:rsidRDefault="00F32BF1" w:rsidP="00F32BF1">
      <w:pPr>
        <w:pStyle w:val="T1OJTechncotedoc"/>
        <w:ind w:left="0"/>
        <w:rPr>
          <w:rFonts w:cs="Arial"/>
          <w:szCs w:val="20"/>
          <w:lang w:val="nl-NL"/>
        </w:rPr>
      </w:pPr>
    </w:p>
    <w:p w14:paraId="10543CD2" w14:textId="77777777" w:rsidR="00F32BF1" w:rsidRPr="00F32BF1" w:rsidRDefault="00F32BF1" w:rsidP="00F32BF1">
      <w:pPr>
        <w:tabs>
          <w:tab w:val="left" w:pos="284"/>
        </w:tabs>
        <w:spacing w:after="0" w:line="240" w:lineRule="atLeast"/>
        <w:ind w:left="851" w:hanging="851"/>
        <w:jc w:val="both"/>
        <w:rPr>
          <w:rFonts w:ascii="Arial" w:hAnsi="Arial" w:cs="Arial"/>
          <w:sz w:val="20"/>
          <w:szCs w:val="20"/>
          <w:lang w:val="nl-NL"/>
        </w:rPr>
      </w:pPr>
      <w:r w:rsidRPr="00F32BF1">
        <w:rPr>
          <w:rFonts w:ascii="Arial" w:hAnsi="Arial" w:cs="Arial"/>
          <w:sz w:val="20"/>
          <w:szCs w:val="20"/>
          <w:lang w:val="nl-NL"/>
        </w:rPr>
        <w:t>"(1)</w:t>
      </w:r>
      <w:r w:rsidRPr="00F32BF1">
        <w:rPr>
          <w:rFonts w:ascii="Arial" w:hAnsi="Arial" w:cs="Arial"/>
          <w:sz w:val="20"/>
          <w:szCs w:val="20"/>
          <w:lang w:val="nl-NL"/>
        </w:rPr>
        <w:tab/>
        <w:t>De verwijderingsbijdrage bedraagt 8,50 euro (te vermeerderen met BTW) per 1000 l geleverde gasolie. De berekening van het bedrag moet worden gebaseerd op het volume van de gasolie bij 15°C."</w:t>
      </w:r>
    </w:p>
    <w:p w14:paraId="0AADEF27" w14:textId="77777777" w:rsidR="00F32BF1" w:rsidRPr="00F32BF1" w:rsidRDefault="00F32BF1" w:rsidP="00F32BF1">
      <w:pPr>
        <w:pStyle w:val="T1OJTechncotedoc"/>
        <w:ind w:left="0"/>
        <w:rPr>
          <w:rFonts w:cs="Arial"/>
          <w:szCs w:val="20"/>
          <w:lang w:val="nl-NL"/>
        </w:rPr>
      </w:pPr>
    </w:p>
    <w:p w14:paraId="135BCB6F" w14:textId="46E57BF3" w:rsidR="00822191" w:rsidRPr="004C6171" w:rsidRDefault="00F32BF1" w:rsidP="004C6171">
      <w:pPr>
        <w:pStyle w:val="T1OJTechncotedoc"/>
        <w:ind w:left="0"/>
        <w:jc w:val="center"/>
        <w:rPr>
          <w:rFonts w:cs="Arial"/>
          <w:szCs w:val="20"/>
          <w:lang w:val="nl-NL"/>
        </w:rPr>
      </w:pPr>
      <w:r w:rsidRPr="00F32BF1">
        <w:rPr>
          <w:rFonts w:cs="Arial"/>
          <w:szCs w:val="20"/>
          <w:lang w:val="nl-NL"/>
        </w:rPr>
        <w:t>***</w:t>
      </w:r>
    </w:p>
    <w:sectPr w:rsidR="00822191" w:rsidRPr="004C6171" w:rsidSect="00B1196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E377" w14:textId="77777777" w:rsidR="00F977C2" w:rsidRDefault="00F977C2" w:rsidP="00356A5F">
      <w:pPr>
        <w:spacing w:after="0" w:line="240" w:lineRule="auto"/>
      </w:pPr>
      <w:r>
        <w:separator/>
      </w:r>
    </w:p>
  </w:endnote>
  <w:endnote w:type="continuationSeparator" w:id="0">
    <w:p w14:paraId="592E0DB3" w14:textId="77777777" w:rsidR="00F977C2" w:rsidRDefault="00F977C2" w:rsidP="0035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D0E5" w14:textId="39C2B28E" w:rsidR="0074447E" w:rsidRPr="00F32BF1" w:rsidRDefault="00356A5F" w:rsidP="00F32BF1">
    <w:pPr>
      <w:tabs>
        <w:tab w:val="center" w:pos="4536"/>
        <w:tab w:val="right" w:pos="9072"/>
      </w:tabs>
      <w:spacing w:after="0" w:line="240" w:lineRule="auto"/>
      <w:jc w:val="right"/>
      <w:rPr>
        <w:rFonts w:ascii="Arial" w:hAnsi="Arial" w:cs="Arial"/>
        <w:snapToGrid w:val="0"/>
        <w:sz w:val="12"/>
        <w:szCs w:val="24"/>
        <w:lang w:val="nl-NL"/>
      </w:rPr>
    </w:pPr>
    <w:proofErr w:type="gramStart"/>
    <w:r w:rsidRPr="00F32BF1">
      <w:rPr>
        <w:rFonts w:ascii="Arial" w:hAnsi="Arial" w:cs="Arial"/>
        <w:snapToGrid w:val="0"/>
        <w:sz w:val="12"/>
        <w:szCs w:val="24"/>
        <w:lang w:val="nl-NL"/>
      </w:rPr>
      <w:t>mg</w:t>
    </w:r>
    <w:proofErr w:type="gramEnd"/>
    <w:r w:rsidRPr="00F32BF1">
      <w:rPr>
        <w:rFonts w:ascii="Arial" w:hAnsi="Arial" w:cs="Arial"/>
        <w:snapToGrid w:val="0"/>
        <w:sz w:val="12"/>
        <w:szCs w:val="24"/>
        <w:lang w:val="nl-NL"/>
      </w:rPr>
      <w:t>/</w:t>
    </w:r>
    <w:proofErr w:type="spellStart"/>
    <w:r w:rsidR="00C9045C">
      <w:rPr>
        <w:rFonts w:ascii="Arial" w:hAnsi="Arial" w:cs="Arial"/>
        <w:snapToGrid w:val="0"/>
        <w:sz w:val="12"/>
        <w:szCs w:val="24"/>
        <w:lang w:val="nl-NL"/>
      </w:rPr>
      <w:t>hd</w:t>
    </w:r>
    <w:proofErr w:type="spellEnd"/>
    <w:r w:rsidR="00C9045C">
      <w:rPr>
        <w:rFonts w:ascii="Arial" w:hAnsi="Arial" w:cs="Arial"/>
        <w:snapToGrid w:val="0"/>
        <w:sz w:val="12"/>
        <w:szCs w:val="24"/>
        <w:lang w:val="nl-NL"/>
      </w:rPr>
      <w:t>/</w:t>
    </w:r>
    <w:r w:rsidRPr="00F32BF1">
      <w:rPr>
        <w:rFonts w:ascii="Arial" w:hAnsi="Arial" w:cs="Arial"/>
        <w:snapToGrid w:val="0"/>
        <w:sz w:val="12"/>
        <w:szCs w:val="24"/>
        <w:lang w:val="nl-NL"/>
      </w:rPr>
      <w:t>cpc20_20</w:t>
    </w:r>
    <w:r w:rsidR="00C9045C">
      <w:rPr>
        <w:rFonts w:ascii="Arial" w:hAnsi="Arial" w:cs="Arial"/>
        <w:snapToGrid w:val="0"/>
        <w:sz w:val="12"/>
        <w:szCs w:val="24"/>
        <w:lang w:val="nl-NL"/>
      </w:rPr>
      <w:t>nl</w:t>
    </w:r>
    <w:r w:rsidR="0080437D">
      <w:rPr>
        <w:rFonts w:ascii="Arial" w:hAnsi="Arial" w:cs="Arial"/>
        <w:snapToGrid w:val="0"/>
        <w:sz w:val="12"/>
        <w:szCs w:val="24"/>
        <w:lang w:val="nl-NL"/>
      </w:rPr>
      <w:t>_def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3569" w14:textId="77777777" w:rsidR="00F977C2" w:rsidRDefault="00F977C2" w:rsidP="00356A5F">
      <w:pPr>
        <w:spacing w:after="0" w:line="240" w:lineRule="auto"/>
      </w:pPr>
      <w:r>
        <w:separator/>
      </w:r>
    </w:p>
  </w:footnote>
  <w:footnote w:type="continuationSeparator" w:id="0">
    <w:p w14:paraId="3C629781" w14:textId="77777777" w:rsidR="00F977C2" w:rsidRDefault="00F977C2" w:rsidP="00356A5F">
      <w:pPr>
        <w:spacing w:after="0" w:line="240" w:lineRule="auto"/>
      </w:pPr>
      <w:r>
        <w:continuationSeparator/>
      </w:r>
    </w:p>
  </w:footnote>
  <w:footnote w:id="1">
    <w:p w14:paraId="27A63738" w14:textId="77777777" w:rsidR="00F32BF1" w:rsidRPr="00714244" w:rsidRDefault="00F32BF1" w:rsidP="00F32BF1">
      <w:pPr>
        <w:pStyle w:val="Notedebasdepage"/>
        <w:rPr>
          <w:rFonts w:ascii="Arial" w:hAnsi="Arial" w:cs="Arial"/>
          <w:sz w:val="16"/>
          <w:szCs w:val="16"/>
          <w:lang w:val="en-GB"/>
        </w:rPr>
      </w:pPr>
      <w:r w:rsidRPr="00F32BF1">
        <w:rPr>
          <w:rStyle w:val="Appelnotedebasdep"/>
          <w:rFonts w:ascii="Arial" w:hAnsi="Arial" w:cs="Arial"/>
          <w:sz w:val="16"/>
          <w:szCs w:val="16"/>
          <w:lang w:val="nl-NL"/>
        </w:rPr>
        <w:footnoteRef/>
      </w:r>
      <w:r w:rsidRPr="00714244">
        <w:rPr>
          <w:rFonts w:ascii="Arial" w:hAnsi="Arial" w:cs="Arial"/>
          <w:sz w:val="16"/>
          <w:szCs w:val="16"/>
          <w:lang w:val="en-GB"/>
        </w:rPr>
        <w:t xml:space="preserve"> </w:t>
      </w:r>
      <w:proofErr w:type="spellStart"/>
      <w:r w:rsidRPr="00714244">
        <w:rPr>
          <w:rFonts w:ascii="Arial" w:hAnsi="Arial" w:cs="Arial"/>
          <w:sz w:val="16"/>
          <w:szCs w:val="16"/>
          <w:lang w:val="en-GB"/>
        </w:rPr>
        <w:t>Zie</w:t>
      </w:r>
      <w:proofErr w:type="spellEnd"/>
      <w:r w:rsidRPr="00714244">
        <w:rPr>
          <w:rFonts w:ascii="Arial" w:hAnsi="Arial" w:cs="Arial"/>
          <w:sz w:val="16"/>
          <w:szCs w:val="16"/>
          <w:lang w:val="en-GB"/>
        </w:rPr>
        <w:t>: New York Times, Oil Prices Nose-Dive as OPEC and Russia Fail to Reach a Deal, 6th of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C3DF" w14:textId="0C24E3C7" w:rsidR="003D72E1" w:rsidRPr="00F32BF1" w:rsidRDefault="00356A5F" w:rsidP="00F32BF1">
    <w:pPr>
      <w:tabs>
        <w:tab w:val="center" w:pos="4536"/>
        <w:tab w:val="right" w:pos="9072"/>
      </w:tabs>
      <w:spacing w:after="0" w:line="240" w:lineRule="auto"/>
      <w:ind w:right="22"/>
      <w:jc w:val="center"/>
      <w:rPr>
        <w:rFonts w:ascii="Arial" w:hAnsi="Arial" w:cs="Arial"/>
        <w:sz w:val="16"/>
        <w:szCs w:val="16"/>
        <w:lang w:val="nl-NL"/>
      </w:rPr>
    </w:pPr>
    <w:r w:rsidRPr="00F32BF1">
      <w:rPr>
        <w:rFonts w:ascii="Arial" w:hAnsi="Arial" w:cs="Arial"/>
        <w:sz w:val="16"/>
        <w:szCs w:val="16"/>
        <w:lang w:val="nl-NL"/>
      </w:rPr>
      <w:t xml:space="preserve">- </w:t>
    </w:r>
    <w:r w:rsidRPr="00F32BF1">
      <w:rPr>
        <w:rFonts w:ascii="Arial" w:hAnsi="Arial" w:cs="Arial"/>
        <w:sz w:val="16"/>
        <w:szCs w:val="16"/>
        <w:lang w:val="nl-NL"/>
      </w:rPr>
      <w:fldChar w:fldCharType="begin"/>
    </w:r>
    <w:r w:rsidRPr="00F32BF1">
      <w:rPr>
        <w:rFonts w:ascii="Arial" w:hAnsi="Arial" w:cs="Arial"/>
        <w:sz w:val="16"/>
        <w:szCs w:val="16"/>
        <w:lang w:val="nl-NL"/>
      </w:rPr>
      <w:instrText xml:space="preserve"> PAGE </w:instrText>
    </w:r>
    <w:r w:rsidRPr="00F32BF1">
      <w:rPr>
        <w:rFonts w:ascii="Arial" w:hAnsi="Arial" w:cs="Arial"/>
        <w:sz w:val="16"/>
        <w:szCs w:val="16"/>
        <w:lang w:val="nl-NL"/>
      </w:rPr>
      <w:fldChar w:fldCharType="separate"/>
    </w:r>
    <w:r w:rsidR="005E618A">
      <w:rPr>
        <w:rFonts w:ascii="Arial" w:hAnsi="Arial" w:cs="Arial"/>
        <w:noProof/>
        <w:sz w:val="16"/>
        <w:szCs w:val="16"/>
        <w:lang w:val="nl-NL"/>
      </w:rPr>
      <w:t>4</w:t>
    </w:r>
    <w:r w:rsidRPr="00F32BF1">
      <w:rPr>
        <w:rFonts w:ascii="Arial" w:hAnsi="Arial" w:cs="Arial"/>
        <w:sz w:val="16"/>
        <w:szCs w:val="16"/>
        <w:lang w:val="nl-NL"/>
      </w:rPr>
      <w:fldChar w:fldCharType="end"/>
    </w:r>
    <w:r w:rsidRPr="00F32BF1">
      <w:rPr>
        <w:rFonts w:ascii="Arial" w:hAnsi="Arial" w:cs="Arial"/>
        <w:sz w:val="16"/>
        <w:szCs w:val="16"/>
        <w:lang w:val="nl-NL"/>
      </w:rPr>
      <w:t xml:space="preserve"> -</w:t>
    </w:r>
  </w:p>
  <w:p w14:paraId="1FFD07FF" w14:textId="77777777" w:rsidR="003D72E1" w:rsidRPr="00F32BF1" w:rsidRDefault="00F977C2" w:rsidP="00F32BF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5F"/>
    <w:rsid w:val="00064911"/>
    <w:rsid w:val="000B20D3"/>
    <w:rsid w:val="000C70B7"/>
    <w:rsid w:val="00135AAD"/>
    <w:rsid w:val="001C1DF0"/>
    <w:rsid w:val="00224EA7"/>
    <w:rsid w:val="002B73E3"/>
    <w:rsid w:val="00356A5F"/>
    <w:rsid w:val="003E0087"/>
    <w:rsid w:val="004017EA"/>
    <w:rsid w:val="00494100"/>
    <w:rsid w:val="004C6171"/>
    <w:rsid w:val="005C00CA"/>
    <w:rsid w:val="005E618A"/>
    <w:rsid w:val="0061363F"/>
    <w:rsid w:val="00632541"/>
    <w:rsid w:val="00637C40"/>
    <w:rsid w:val="006C3389"/>
    <w:rsid w:val="00714244"/>
    <w:rsid w:val="007179D6"/>
    <w:rsid w:val="0080437D"/>
    <w:rsid w:val="00822191"/>
    <w:rsid w:val="008D63BD"/>
    <w:rsid w:val="00913FC4"/>
    <w:rsid w:val="00A437EC"/>
    <w:rsid w:val="00C9045C"/>
    <w:rsid w:val="00D23EBF"/>
    <w:rsid w:val="00D336A6"/>
    <w:rsid w:val="00DC4A5F"/>
    <w:rsid w:val="00E930DB"/>
    <w:rsid w:val="00F32BF1"/>
    <w:rsid w:val="00F55AC8"/>
    <w:rsid w:val="00F56973"/>
    <w:rsid w:val="00F9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041D"/>
  <w15:chartTrackingRefBased/>
  <w15:docId w15:val="{98E4F651-EA0F-456E-822F-D85DB787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F"/>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1"/>
    <w:uiPriority w:val="99"/>
    <w:unhideWhenUsed/>
    <w:rsid w:val="00356A5F"/>
    <w:pPr>
      <w:spacing w:after="0" w:line="240" w:lineRule="auto"/>
    </w:pPr>
    <w:rPr>
      <w:sz w:val="20"/>
      <w:szCs w:val="20"/>
    </w:rPr>
  </w:style>
  <w:style w:type="character" w:customStyle="1" w:styleId="NotedebasdepageCar">
    <w:name w:val="Note de bas de page Car"/>
    <w:basedOn w:val="Policepardfaut"/>
    <w:uiPriority w:val="99"/>
    <w:semiHidden/>
    <w:rsid w:val="00356A5F"/>
    <w:rPr>
      <w:rFonts w:ascii="Calibri" w:eastAsia="Times New Roman" w:hAnsi="Calibri" w:cs="Times New Roman"/>
      <w:sz w:val="20"/>
      <w:szCs w:val="20"/>
      <w:lang w:eastAsia="fr-FR"/>
    </w:rPr>
  </w:style>
  <w:style w:type="character" w:styleId="Appelnotedebasdep">
    <w:name w:val="footnote reference"/>
    <w:aliases w:val="En-tête Car1 Car,En-tête Car Car Car,En-tête Car1 Car Car Car,En-tête Car Car Car Car Car,En-tête Car1 Car Car Car Car Car,En-tête Car Car Car Car Car Car Car"/>
    <w:uiPriority w:val="99"/>
    <w:rsid w:val="00356A5F"/>
    <w:rPr>
      <w:vertAlign w:val="superscript"/>
    </w:rPr>
  </w:style>
  <w:style w:type="character" w:customStyle="1" w:styleId="NotedebasdepageCar1">
    <w:name w:val="Note de bas de page Car1"/>
    <w:basedOn w:val="Policepardfaut"/>
    <w:link w:val="Notedebasdepage"/>
    <w:uiPriority w:val="99"/>
    <w:rsid w:val="00356A5F"/>
    <w:rPr>
      <w:rFonts w:ascii="Calibri" w:eastAsia="Times New Roman" w:hAnsi="Calibri" w:cs="Times New Roman"/>
      <w:sz w:val="20"/>
      <w:szCs w:val="20"/>
      <w:lang w:eastAsia="fr-FR"/>
    </w:rPr>
  </w:style>
  <w:style w:type="paragraph" w:styleId="En-tte">
    <w:name w:val="header"/>
    <w:aliases w:val="En-tête Car1,En-tête Car Car,En-tête Car1 Car Car,En-tête Car Car Car Car,En-tête Car1 Car Car Car Car,En-tête Car Car Car Car Car Car"/>
    <w:basedOn w:val="Normal"/>
    <w:link w:val="En-tteCar"/>
    <w:uiPriority w:val="99"/>
    <w:unhideWhenUsed/>
    <w:rsid w:val="00356A5F"/>
    <w:pPr>
      <w:tabs>
        <w:tab w:val="center" w:pos="4536"/>
        <w:tab w:val="right" w:pos="9072"/>
      </w:tabs>
      <w:spacing w:after="0" w:line="240" w:lineRule="auto"/>
    </w:pPr>
  </w:style>
  <w:style w:type="character" w:customStyle="1" w:styleId="En-tteCar">
    <w:name w:val="En-tête Car"/>
    <w:aliases w:val="En-tête Car1 Car1,En-tête Car Car Car1,En-tête Car1 Car Car Car1,En-tête Car Car Car Car Car1,En-tête Car1 Car Car Car Car Car1,En-tête Car Car Car Car Car Car Car1"/>
    <w:basedOn w:val="Policepardfaut"/>
    <w:link w:val="En-tte"/>
    <w:uiPriority w:val="99"/>
    <w:rsid w:val="00356A5F"/>
    <w:rPr>
      <w:rFonts w:ascii="Calibri" w:eastAsia="Times New Roman" w:hAnsi="Calibri" w:cs="Times New Roman"/>
      <w:lang w:eastAsia="fr-FR"/>
    </w:rPr>
  </w:style>
  <w:style w:type="paragraph" w:styleId="Pieddepage">
    <w:name w:val="footer"/>
    <w:basedOn w:val="Normal"/>
    <w:link w:val="PieddepageCar"/>
    <w:uiPriority w:val="99"/>
    <w:unhideWhenUsed/>
    <w:rsid w:val="00356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A5F"/>
    <w:rPr>
      <w:rFonts w:ascii="Calibri" w:eastAsia="Times New Roman" w:hAnsi="Calibri" w:cs="Times New Roman"/>
      <w:lang w:eastAsia="fr-FR"/>
    </w:rPr>
  </w:style>
  <w:style w:type="paragraph" w:customStyle="1" w:styleId="T1OJTechncotedoc">
    <w:name w:val="T_1_OJ_Techn_cote_doc"/>
    <w:basedOn w:val="Normal"/>
    <w:qFormat/>
    <w:rsid w:val="00356A5F"/>
    <w:pPr>
      <w:tabs>
        <w:tab w:val="left" w:pos="567"/>
      </w:tabs>
      <w:spacing w:after="0" w:line="240" w:lineRule="atLeast"/>
      <w:ind w:left="567"/>
      <w:jc w:val="both"/>
    </w:pPr>
    <w:rPr>
      <w:rFonts w:ascii="Arial" w:hAnsi="Arial"/>
      <w:color w:val="000000"/>
      <w:sz w:val="20"/>
      <w:szCs w:val="24"/>
      <w:lang w:eastAsia="en-GB"/>
    </w:rPr>
  </w:style>
  <w:style w:type="character" w:styleId="Lienhypertexte">
    <w:name w:val="Hyperlink"/>
    <w:basedOn w:val="Policepardfaut"/>
    <w:uiPriority w:val="99"/>
    <w:unhideWhenUsed/>
    <w:rsid w:val="00356A5F"/>
    <w:rPr>
      <w:color w:val="0000FF" w:themeColor="hyperlink"/>
      <w:u w:val="single"/>
    </w:rPr>
  </w:style>
  <w:style w:type="paragraph" w:styleId="Textedebulles">
    <w:name w:val="Balloon Text"/>
    <w:basedOn w:val="Normal"/>
    <w:link w:val="TextedebullesCar"/>
    <w:uiPriority w:val="99"/>
    <w:semiHidden/>
    <w:unhideWhenUsed/>
    <w:rsid w:val="00D336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36A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zkr.org/files/documents/covid19/20200327_CCNR_Economic_impac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1114</Words>
  <Characters>6127</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Diepenbroek</dc:creator>
  <cp:keywords/>
  <dc:description/>
  <cp:lastModifiedBy>PIERRE ELCHINGER</cp:lastModifiedBy>
  <cp:revision>6</cp:revision>
  <dcterms:created xsi:type="dcterms:W3CDTF">2020-07-02T10:17:00Z</dcterms:created>
  <dcterms:modified xsi:type="dcterms:W3CDTF">2020-07-03T12:37:00Z</dcterms:modified>
</cp:coreProperties>
</file>