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A0" w:firstRow="1" w:lastRow="0" w:firstColumn="1" w:lastColumn="0" w:noHBand="0" w:noVBand="0"/>
      </w:tblPr>
      <w:tblGrid>
        <w:gridCol w:w="3510"/>
        <w:gridCol w:w="3118"/>
        <w:gridCol w:w="2376"/>
      </w:tblGrid>
      <w:tr w:rsidR="001872BB" w:rsidRPr="00FD1351" w14:paraId="7F264543" w14:textId="77777777" w:rsidTr="00BB144A">
        <w:trPr>
          <w:cantSplit/>
          <w:trHeight w:val="175"/>
        </w:trPr>
        <w:tc>
          <w:tcPr>
            <w:tcW w:w="3510" w:type="dxa"/>
            <w:vMerge w:val="restart"/>
          </w:tcPr>
          <w:p w14:paraId="3E721051" w14:textId="77777777" w:rsidR="001872BB" w:rsidRPr="008326BC" w:rsidRDefault="001872BB" w:rsidP="00BB144A">
            <w:pPr>
              <w:autoSpaceDE w:val="0"/>
              <w:autoSpaceDN w:val="0"/>
              <w:adjustRightInd w:val="0"/>
              <w:spacing w:before="120" w:after="0" w:line="240" w:lineRule="auto"/>
              <w:jc w:val="both"/>
              <w:rPr>
                <w:rFonts w:ascii="Arial" w:hAnsi="Arial"/>
                <w:b/>
                <w:snapToGrid w:val="0"/>
                <w:color w:val="808080"/>
                <w:sz w:val="14"/>
                <w:szCs w:val="24"/>
              </w:rPr>
            </w:pPr>
            <w:r w:rsidRPr="008326BC">
              <w:rPr>
                <w:rFonts w:ascii="Arial" w:hAnsi="Arial"/>
                <w:b/>
                <w:snapToGrid w:val="0"/>
                <w:color w:val="808080"/>
                <w:sz w:val="14"/>
                <w:szCs w:val="24"/>
              </w:rPr>
              <w:t>CONVENTION RELATIVE À LA COLLECTE,</w:t>
            </w:r>
          </w:p>
          <w:p w14:paraId="38E8C64C" w14:textId="77777777" w:rsidR="001872BB" w:rsidRPr="008326BC" w:rsidRDefault="001872BB" w:rsidP="00BB144A">
            <w:pPr>
              <w:autoSpaceDE w:val="0"/>
              <w:autoSpaceDN w:val="0"/>
              <w:adjustRightInd w:val="0"/>
              <w:spacing w:after="0" w:line="240" w:lineRule="auto"/>
              <w:jc w:val="both"/>
              <w:rPr>
                <w:rFonts w:ascii="Arial" w:hAnsi="Arial"/>
                <w:b/>
                <w:snapToGrid w:val="0"/>
                <w:color w:val="808080"/>
                <w:sz w:val="14"/>
                <w:szCs w:val="24"/>
              </w:rPr>
            </w:pPr>
            <w:r w:rsidRPr="008326BC">
              <w:rPr>
                <w:rFonts w:ascii="Arial" w:hAnsi="Arial"/>
                <w:b/>
                <w:snapToGrid w:val="0"/>
                <w:color w:val="808080"/>
                <w:sz w:val="14"/>
                <w:szCs w:val="24"/>
              </w:rPr>
              <w:t>AU DÉPÔT ET À LA RÉCEPTION DES DÉCHETS</w:t>
            </w:r>
          </w:p>
          <w:p w14:paraId="550C2767" w14:textId="77777777" w:rsidR="001872BB" w:rsidRPr="008326BC" w:rsidRDefault="001872BB" w:rsidP="00BB144A">
            <w:pPr>
              <w:autoSpaceDE w:val="0"/>
              <w:autoSpaceDN w:val="0"/>
              <w:adjustRightInd w:val="0"/>
              <w:spacing w:after="0" w:line="240" w:lineRule="auto"/>
              <w:jc w:val="both"/>
              <w:rPr>
                <w:rFonts w:ascii="Arial" w:hAnsi="Arial"/>
                <w:b/>
                <w:snapToGrid w:val="0"/>
                <w:color w:val="808080"/>
                <w:sz w:val="14"/>
                <w:szCs w:val="24"/>
              </w:rPr>
            </w:pPr>
            <w:r w:rsidRPr="008326BC">
              <w:rPr>
                <w:rFonts w:ascii="Arial" w:hAnsi="Arial"/>
                <w:b/>
                <w:snapToGrid w:val="0"/>
                <w:color w:val="808080"/>
                <w:sz w:val="14"/>
                <w:szCs w:val="24"/>
              </w:rPr>
              <w:t>SURVENANT EN NAVIGATION RHÉNANE ET INTÉRIEURE</w:t>
            </w:r>
          </w:p>
        </w:tc>
        <w:tc>
          <w:tcPr>
            <w:tcW w:w="3118" w:type="dxa"/>
            <w:vMerge w:val="restart"/>
          </w:tcPr>
          <w:p w14:paraId="4E50736F" w14:textId="77777777" w:rsidR="001872BB" w:rsidRPr="008326BC" w:rsidRDefault="001872BB" w:rsidP="00BB144A">
            <w:pPr>
              <w:spacing w:after="0" w:line="220" w:lineRule="atLeast"/>
              <w:jc w:val="both"/>
              <w:rPr>
                <w:rFonts w:ascii="Arial" w:hAnsi="Arial" w:cs="Arial"/>
                <w:sz w:val="20"/>
                <w:szCs w:val="20"/>
              </w:rPr>
            </w:pPr>
            <w:r w:rsidRPr="008326BC">
              <w:rPr>
                <w:rFonts w:ascii="Arial" w:hAnsi="Arial" w:cs="Arial"/>
                <w:noProof/>
                <w:sz w:val="20"/>
                <w:szCs w:val="20"/>
              </w:rPr>
              <w:drawing>
                <wp:inline distT="0" distB="0" distL="0" distR="0" wp14:anchorId="3E059192" wp14:editId="76AE6D92">
                  <wp:extent cx="1009650" cy="4387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438785"/>
                          </a:xfrm>
                          <a:prstGeom prst="rect">
                            <a:avLst/>
                          </a:prstGeom>
                          <a:noFill/>
                          <a:ln>
                            <a:noFill/>
                          </a:ln>
                        </pic:spPr>
                      </pic:pic>
                    </a:graphicData>
                  </a:graphic>
                </wp:inline>
              </w:drawing>
            </w:r>
          </w:p>
        </w:tc>
        <w:tc>
          <w:tcPr>
            <w:tcW w:w="2376" w:type="dxa"/>
          </w:tcPr>
          <w:p w14:paraId="7F693B11" w14:textId="52547B64" w:rsidR="001872BB" w:rsidRPr="00952DC4" w:rsidRDefault="001872BB" w:rsidP="00BB144A">
            <w:pPr>
              <w:tabs>
                <w:tab w:val="left" w:pos="6521"/>
              </w:tabs>
              <w:autoSpaceDE w:val="0"/>
              <w:autoSpaceDN w:val="0"/>
              <w:adjustRightInd w:val="0"/>
              <w:spacing w:after="0" w:line="220" w:lineRule="atLeast"/>
              <w:jc w:val="both"/>
              <w:rPr>
                <w:rFonts w:ascii="Arial" w:hAnsi="Arial"/>
                <w:sz w:val="20"/>
                <w:lang w:val="en-US"/>
              </w:rPr>
            </w:pPr>
            <w:r w:rsidRPr="00952DC4">
              <w:rPr>
                <w:rFonts w:ascii="Arial" w:hAnsi="Arial"/>
                <w:sz w:val="20"/>
                <w:lang w:val="en-US"/>
              </w:rPr>
              <w:t>CPC (20) 20</w:t>
            </w:r>
            <w:r w:rsidR="00F82B7D" w:rsidRPr="00952DC4">
              <w:rPr>
                <w:rFonts w:ascii="Arial" w:hAnsi="Arial"/>
                <w:sz w:val="20"/>
                <w:lang w:val="en-US"/>
              </w:rPr>
              <w:t xml:space="preserve"> </w:t>
            </w:r>
            <w:r w:rsidR="0085460C" w:rsidRPr="00952DC4">
              <w:rPr>
                <w:rFonts w:ascii="Arial" w:hAnsi="Arial"/>
                <w:sz w:val="20"/>
                <w:lang w:val="en-US"/>
              </w:rPr>
              <w:t>f</w:t>
            </w:r>
            <w:r w:rsidR="0085460C">
              <w:rPr>
                <w:rFonts w:ascii="Arial" w:hAnsi="Arial"/>
                <w:sz w:val="20"/>
                <w:lang w:val="en-US"/>
              </w:rPr>
              <w:t>inal</w:t>
            </w:r>
          </w:p>
          <w:p w14:paraId="030C01E7" w14:textId="0E0E93DB" w:rsidR="001872BB" w:rsidRPr="00952DC4" w:rsidRDefault="001872BB" w:rsidP="00BB144A">
            <w:pPr>
              <w:tabs>
                <w:tab w:val="left" w:pos="6521"/>
              </w:tabs>
              <w:autoSpaceDE w:val="0"/>
              <w:autoSpaceDN w:val="0"/>
              <w:adjustRightInd w:val="0"/>
              <w:spacing w:after="0" w:line="220" w:lineRule="atLeast"/>
              <w:jc w:val="both"/>
              <w:rPr>
                <w:rFonts w:ascii="Arial" w:hAnsi="Arial" w:cs="Arial"/>
                <w:snapToGrid w:val="0"/>
                <w:sz w:val="20"/>
                <w:szCs w:val="20"/>
                <w:lang w:val="en-US"/>
              </w:rPr>
            </w:pPr>
            <w:r w:rsidRPr="00952DC4">
              <w:rPr>
                <w:rFonts w:ascii="Arial" w:hAnsi="Arial" w:cs="Arial"/>
                <w:snapToGrid w:val="0"/>
                <w:sz w:val="20"/>
                <w:szCs w:val="20"/>
                <w:lang w:val="en-US"/>
              </w:rPr>
              <w:t>IIPC (20) 17</w:t>
            </w:r>
            <w:r w:rsidR="00F82B7D" w:rsidRPr="00952DC4">
              <w:rPr>
                <w:rFonts w:ascii="Arial" w:hAnsi="Arial" w:cs="Arial"/>
                <w:snapToGrid w:val="0"/>
                <w:sz w:val="20"/>
                <w:szCs w:val="20"/>
                <w:lang w:val="en-US"/>
              </w:rPr>
              <w:t xml:space="preserve"> </w:t>
            </w:r>
            <w:r w:rsidR="0085460C">
              <w:rPr>
                <w:rFonts w:ascii="Arial" w:hAnsi="Arial" w:cs="Arial"/>
                <w:snapToGrid w:val="0"/>
                <w:sz w:val="20"/>
                <w:szCs w:val="20"/>
                <w:lang w:val="en-US"/>
              </w:rPr>
              <w:t>final</w:t>
            </w:r>
          </w:p>
          <w:p w14:paraId="7EB19ECE" w14:textId="604AFAF2" w:rsidR="001872BB" w:rsidRPr="00952DC4" w:rsidRDefault="001872BB" w:rsidP="00BB144A">
            <w:pPr>
              <w:tabs>
                <w:tab w:val="left" w:pos="6521"/>
              </w:tabs>
              <w:autoSpaceDE w:val="0"/>
              <w:autoSpaceDN w:val="0"/>
              <w:adjustRightInd w:val="0"/>
              <w:spacing w:after="0" w:line="220" w:lineRule="atLeast"/>
              <w:jc w:val="both"/>
              <w:rPr>
                <w:rFonts w:ascii="Arial" w:hAnsi="Arial" w:cs="Arial"/>
                <w:snapToGrid w:val="0"/>
                <w:sz w:val="20"/>
                <w:szCs w:val="20"/>
                <w:lang w:val="en-US"/>
              </w:rPr>
            </w:pPr>
            <w:r w:rsidRPr="00952DC4">
              <w:rPr>
                <w:rFonts w:ascii="Arial" w:hAnsi="Arial" w:cs="Arial"/>
                <w:snapToGrid w:val="0"/>
                <w:sz w:val="20"/>
                <w:szCs w:val="20"/>
                <w:lang w:val="en-US"/>
              </w:rPr>
              <w:t>CDNI/G (20) 27</w:t>
            </w:r>
            <w:r w:rsidR="00F82B7D" w:rsidRPr="00952DC4">
              <w:rPr>
                <w:rFonts w:ascii="Arial" w:hAnsi="Arial" w:cs="Arial"/>
                <w:snapToGrid w:val="0"/>
                <w:sz w:val="20"/>
                <w:szCs w:val="20"/>
                <w:lang w:val="en-US"/>
              </w:rPr>
              <w:t xml:space="preserve"> </w:t>
            </w:r>
            <w:r w:rsidR="0085460C">
              <w:rPr>
                <w:rFonts w:ascii="Arial" w:hAnsi="Arial" w:cs="Arial"/>
                <w:snapToGrid w:val="0"/>
                <w:sz w:val="20"/>
                <w:szCs w:val="20"/>
                <w:lang w:val="en-US"/>
              </w:rPr>
              <w:t>final</w:t>
            </w:r>
          </w:p>
        </w:tc>
      </w:tr>
      <w:tr w:rsidR="001872BB" w:rsidRPr="008326BC" w14:paraId="64960041" w14:textId="77777777" w:rsidTr="00BB144A">
        <w:trPr>
          <w:cantSplit/>
        </w:trPr>
        <w:tc>
          <w:tcPr>
            <w:tcW w:w="3510" w:type="dxa"/>
            <w:vMerge/>
          </w:tcPr>
          <w:p w14:paraId="7A3C18FE" w14:textId="77777777" w:rsidR="001872BB" w:rsidRPr="00952DC4" w:rsidRDefault="001872BB" w:rsidP="00BB144A">
            <w:pPr>
              <w:spacing w:after="0" w:line="220" w:lineRule="atLeast"/>
              <w:jc w:val="both"/>
              <w:rPr>
                <w:rFonts w:ascii="Arial" w:hAnsi="Arial"/>
                <w:sz w:val="20"/>
                <w:lang w:val="en-US"/>
              </w:rPr>
            </w:pPr>
          </w:p>
        </w:tc>
        <w:tc>
          <w:tcPr>
            <w:tcW w:w="3118" w:type="dxa"/>
            <w:vMerge/>
          </w:tcPr>
          <w:p w14:paraId="6E97B9A3" w14:textId="77777777" w:rsidR="001872BB" w:rsidRPr="00952DC4" w:rsidRDefault="001872BB" w:rsidP="00BB144A">
            <w:pPr>
              <w:spacing w:after="0" w:line="220" w:lineRule="atLeast"/>
              <w:jc w:val="both"/>
              <w:rPr>
                <w:rFonts w:ascii="Arial" w:hAnsi="Arial"/>
                <w:sz w:val="20"/>
                <w:lang w:val="en-US"/>
              </w:rPr>
            </w:pPr>
          </w:p>
        </w:tc>
        <w:tc>
          <w:tcPr>
            <w:tcW w:w="2376" w:type="dxa"/>
          </w:tcPr>
          <w:p w14:paraId="4DB99BAC" w14:textId="415DD52F" w:rsidR="001872BB" w:rsidRPr="008326BC" w:rsidRDefault="0085460C" w:rsidP="00BB144A">
            <w:pPr>
              <w:tabs>
                <w:tab w:val="left" w:pos="6521"/>
              </w:tabs>
              <w:autoSpaceDE w:val="0"/>
              <w:autoSpaceDN w:val="0"/>
              <w:adjustRightInd w:val="0"/>
              <w:spacing w:after="0" w:line="220" w:lineRule="atLeast"/>
              <w:jc w:val="both"/>
              <w:rPr>
                <w:rFonts w:ascii="Arial" w:hAnsi="Arial" w:cs="Arial"/>
                <w:snapToGrid w:val="0"/>
                <w:sz w:val="20"/>
                <w:szCs w:val="20"/>
              </w:rPr>
            </w:pPr>
            <w:r>
              <w:rPr>
                <w:rFonts w:ascii="Arial" w:hAnsi="Arial" w:cs="Arial"/>
                <w:snapToGrid w:val="0"/>
                <w:sz w:val="20"/>
                <w:szCs w:val="20"/>
              </w:rPr>
              <w:t>2</w:t>
            </w:r>
            <w:r w:rsidR="00F82B7D">
              <w:rPr>
                <w:rFonts w:ascii="Arial" w:hAnsi="Arial" w:cs="Arial"/>
                <w:snapToGrid w:val="0"/>
                <w:sz w:val="20"/>
                <w:szCs w:val="20"/>
              </w:rPr>
              <w:t xml:space="preserve"> juillet</w:t>
            </w:r>
            <w:r w:rsidR="001872BB" w:rsidRPr="008326BC">
              <w:rPr>
                <w:rFonts w:ascii="Arial" w:hAnsi="Arial" w:cs="Arial"/>
                <w:snapToGrid w:val="0"/>
                <w:sz w:val="20"/>
                <w:szCs w:val="20"/>
              </w:rPr>
              <w:t xml:space="preserve"> 2020</w:t>
            </w:r>
          </w:p>
        </w:tc>
      </w:tr>
      <w:tr w:rsidR="001872BB" w:rsidRPr="008326BC" w14:paraId="47E537DA" w14:textId="77777777" w:rsidTr="00BB144A">
        <w:trPr>
          <w:cantSplit/>
        </w:trPr>
        <w:tc>
          <w:tcPr>
            <w:tcW w:w="3510" w:type="dxa"/>
            <w:vMerge/>
          </w:tcPr>
          <w:p w14:paraId="6994B798" w14:textId="77777777" w:rsidR="001872BB" w:rsidRPr="008326BC" w:rsidRDefault="001872BB" w:rsidP="00BB144A">
            <w:pPr>
              <w:spacing w:after="0" w:line="220" w:lineRule="atLeast"/>
              <w:jc w:val="both"/>
              <w:rPr>
                <w:rFonts w:ascii="Arial" w:hAnsi="Arial" w:cs="Arial"/>
                <w:sz w:val="20"/>
                <w:szCs w:val="20"/>
              </w:rPr>
            </w:pPr>
          </w:p>
        </w:tc>
        <w:tc>
          <w:tcPr>
            <w:tcW w:w="3118" w:type="dxa"/>
            <w:vMerge/>
          </w:tcPr>
          <w:p w14:paraId="09543756" w14:textId="77777777" w:rsidR="001872BB" w:rsidRPr="008326BC" w:rsidRDefault="001872BB" w:rsidP="00BB144A">
            <w:pPr>
              <w:spacing w:after="0" w:line="220" w:lineRule="atLeast"/>
              <w:jc w:val="both"/>
              <w:rPr>
                <w:rFonts w:ascii="Arial" w:hAnsi="Arial" w:cs="Arial"/>
                <w:sz w:val="20"/>
                <w:szCs w:val="20"/>
              </w:rPr>
            </w:pPr>
          </w:p>
        </w:tc>
        <w:tc>
          <w:tcPr>
            <w:tcW w:w="2376" w:type="dxa"/>
          </w:tcPr>
          <w:p w14:paraId="7EDB8E0B" w14:textId="77777777" w:rsidR="001872BB" w:rsidRPr="008326BC" w:rsidRDefault="001872BB" w:rsidP="00BB144A">
            <w:pPr>
              <w:autoSpaceDE w:val="0"/>
              <w:autoSpaceDN w:val="0"/>
              <w:adjustRightInd w:val="0"/>
              <w:spacing w:after="0" w:line="220" w:lineRule="atLeast"/>
              <w:jc w:val="both"/>
              <w:rPr>
                <w:rFonts w:ascii="Arial" w:hAnsi="Arial" w:cs="Arial"/>
                <w:snapToGrid w:val="0"/>
                <w:sz w:val="16"/>
                <w:szCs w:val="16"/>
              </w:rPr>
            </w:pPr>
            <w:r w:rsidRPr="008326BC">
              <w:rPr>
                <w:rFonts w:ascii="Arial" w:hAnsi="Arial" w:cs="Arial"/>
                <w:snapToGrid w:val="0"/>
                <w:sz w:val="16"/>
                <w:szCs w:val="16"/>
              </w:rPr>
              <w:t xml:space="preserve">Or. </w:t>
            </w:r>
            <w:proofErr w:type="spellStart"/>
            <w:proofErr w:type="gramStart"/>
            <w:r w:rsidRPr="008326BC">
              <w:rPr>
                <w:rFonts w:ascii="Arial" w:hAnsi="Arial" w:cs="Arial"/>
                <w:snapToGrid w:val="0"/>
                <w:sz w:val="16"/>
                <w:szCs w:val="16"/>
              </w:rPr>
              <w:t>fr</w:t>
            </w:r>
            <w:proofErr w:type="spellEnd"/>
            <w:proofErr w:type="gramEnd"/>
            <w:r w:rsidRPr="008326BC">
              <w:rPr>
                <w:rFonts w:ascii="Arial" w:hAnsi="Arial" w:cs="Arial"/>
                <w:snapToGrid w:val="0"/>
                <w:sz w:val="16"/>
                <w:szCs w:val="16"/>
              </w:rPr>
              <w:t xml:space="preserve">   </w:t>
            </w:r>
            <w:proofErr w:type="spellStart"/>
            <w:r w:rsidRPr="008326BC">
              <w:rPr>
                <w:rFonts w:ascii="Arial" w:hAnsi="Arial" w:cs="Arial"/>
                <w:snapToGrid w:val="0"/>
                <w:sz w:val="16"/>
                <w:szCs w:val="16"/>
              </w:rPr>
              <w:t>fr</w:t>
            </w:r>
            <w:proofErr w:type="spellEnd"/>
            <w:r w:rsidRPr="008326BC">
              <w:rPr>
                <w:rFonts w:ascii="Arial" w:hAnsi="Arial" w:cs="Arial"/>
                <w:snapToGrid w:val="0"/>
                <w:sz w:val="16"/>
                <w:szCs w:val="16"/>
              </w:rPr>
              <w:t>/de/</w:t>
            </w:r>
            <w:proofErr w:type="spellStart"/>
            <w:r w:rsidRPr="008326BC">
              <w:rPr>
                <w:rFonts w:ascii="Arial" w:hAnsi="Arial" w:cs="Arial"/>
                <w:snapToGrid w:val="0"/>
                <w:sz w:val="16"/>
                <w:szCs w:val="16"/>
              </w:rPr>
              <w:t>nl</w:t>
            </w:r>
            <w:proofErr w:type="spellEnd"/>
          </w:p>
        </w:tc>
      </w:tr>
    </w:tbl>
    <w:p w14:paraId="3F9C89C6" w14:textId="77777777" w:rsidR="001872BB" w:rsidRPr="008326BC" w:rsidRDefault="001872BB" w:rsidP="001872BB">
      <w:pPr>
        <w:tabs>
          <w:tab w:val="left" w:pos="3260"/>
          <w:tab w:val="left" w:pos="6521"/>
        </w:tabs>
        <w:spacing w:after="0" w:line="220" w:lineRule="atLeast"/>
        <w:jc w:val="both"/>
        <w:rPr>
          <w:rFonts w:ascii="Arial" w:hAnsi="Arial" w:cs="Arial"/>
          <w:sz w:val="20"/>
          <w:szCs w:val="20"/>
        </w:rPr>
      </w:pPr>
    </w:p>
    <w:p w14:paraId="735E5A20" w14:textId="77777777" w:rsidR="001872BB" w:rsidRPr="008326BC" w:rsidRDefault="001872BB" w:rsidP="001872BB">
      <w:pPr>
        <w:spacing w:after="0" w:line="240" w:lineRule="auto"/>
        <w:ind w:left="5103"/>
        <w:rPr>
          <w:rFonts w:ascii="Arial" w:eastAsia="Batang" w:hAnsi="Arial" w:cs="Arial"/>
          <w:sz w:val="16"/>
          <w:szCs w:val="20"/>
        </w:rPr>
      </w:pPr>
      <w:r w:rsidRPr="008326BC">
        <w:rPr>
          <w:rFonts w:ascii="Arial" w:eastAsia="Batang" w:hAnsi="Arial" w:cs="Arial"/>
          <w:sz w:val="16"/>
          <w:szCs w:val="20"/>
        </w:rPr>
        <w:t>CONFÉRENCE DES PARTIES CONTRACTANTES</w:t>
      </w:r>
    </w:p>
    <w:p w14:paraId="05B47EBB" w14:textId="77777777" w:rsidR="001872BB" w:rsidRPr="008326BC" w:rsidRDefault="001872BB" w:rsidP="001872BB">
      <w:pPr>
        <w:spacing w:after="0" w:line="240" w:lineRule="auto"/>
        <w:ind w:left="5103"/>
        <w:rPr>
          <w:rFonts w:ascii="Arial" w:eastAsia="Batang" w:hAnsi="Arial" w:cs="Arial"/>
          <w:sz w:val="16"/>
          <w:szCs w:val="20"/>
        </w:rPr>
      </w:pPr>
      <w:r w:rsidRPr="008326BC">
        <w:rPr>
          <w:rFonts w:ascii="Arial" w:eastAsia="Batang" w:hAnsi="Arial" w:cs="Arial"/>
          <w:sz w:val="16"/>
          <w:szCs w:val="20"/>
        </w:rPr>
        <w:t>INSTANCE</w:t>
      </w:r>
      <w:r w:rsidRPr="008326BC">
        <w:rPr>
          <w:rFonts w:ascii="Arial" w:hAnsi="Arial" w:cs="Arial"/>
          <w:caps/>
          <w:sz w:val="16"/>
          <w:szCs w:val="20"/>
        </w:rPr>
        <w:t xml:space="preserve"> INTERNATIONALE DE PÉRÉQUATION </w:t>
      </w:r>
      <w:r w:rsidRPr="008326BC">
        <w:rPr>
          <w:rFonts w:ascii="Arial" w:eastAsia="Batang" w:hAnsi="Arial" w:cs="Arial"/>
          <w:sz w:val="16"/>
          <w:szCs w:val="20"/>
        </w:rPr>
        <w:t>ET DE COORDINATION</w:t>
      </w:r>
    </w:p>
    <w:p w14:paraId="786E7E35" w14:textId="77777777" w:rsidR="001872BB" w:rsidRPr="008326BC" w:rsidRDefault="001872BB" w:rsidP="001872BB">
      <w:pPr>
        <w:spacing w:after="0" w:line="240" w:lineRule="auto"/>
        <w:ind w:left="5103"/>
        <w:rPr>
          <w:rFonts w:ascii="Arial" w:eastAsia="Batang" w:hAnsi="Arial" w:cs="Arial"/>
          <w:sz w:val="16"/>
          <w:szCs w:val="20"/>
        </w:rPr>
      </w:pPr>
      <w:r w:rsidRPr="008326BC">
        <w:rPr>
          <w:rFonts w:ascii="Arial" w:eastAsia="Batang" w:hAnsi="Arial" w:cs="Arial"/>
          <w:sz w:val="16"/>
          <w:szCs w:val="20"/>
        </w:rPr>
        <w:t>GROUPE DE TRAVAIL CDNI</w:t>
      </w:r>
    </w:p>
    <w:p w14:paraId="41ECB2E3" w14:textId="77777777" w:rsidR="001872BB" w:rsidRPr="008326BC" w:rsidRDefault="001872BB" w:rsidP="001872BB">
      <w:pPr>
        <w:spacing w:after="0" w:line="240" w:lineRule="auto"/>
        <w:ind w:left="5103"/>
        <w:rPr>
          <w:rFonts w:ascii="Arial" w:eastAsia="Batang" w:hAnsi="Arial" w:cs="Arial"/>
          <w:sz w:val="16"/>
          <w:szCs w:val="20"/>
        </w:rPr>
      </w:pPr>
    </w:p>
    <w:p w14:paraId="30977D37" w14:textId="77777777" w:rsidR="001872BB" w:rsidRPr="008326BC" w:rsidRDefault="001872BB" w:rsidP="001872BB">
      <w:pPr>
        <w:tabs>
          <w:tab w:val="left" w:pos="5670"/>
        </w:tabs>
        <w:autoSpaceDE w:val="0"/>
        <w:autoSpaceDN w:val="0"/>
        <w:adjustRightInd w:val="0"/>
        <w:spacing w:before="60" w:after="0" w:line="240" w:lineRule="auto"/>
        <w:ind w:right="-2258"/>
        <w:outlineLvl w:val="0"/>
        <w:rPr>
          <w:rFonts w:ascii="Arial" w:eastAsia="MS Mincho" w:hAnsi="Arial" w:cs="Arial"/>
          <w:snapToGrid w:val="0"/>
          <w:sz w:val="20"/>
          <w:szCs w:val="20"/>
        </w:rPr>
      </w:pPr>
    </w:p>
    <w:p w14:paraId="3EAB7D26" w14:textId="77777777" w:rsidR="001872BB" w:rsidRPr="008326BC" w:rsidRDefault="001872BB" w:rsidP="001872BB">
      <w:pPr>
        <w:autoSpaceDE w:val="0"/>
        <w:autoSpaceDN w:val="0"/>
        <w:adjustRightInd w:val="0"/>
        <w:spacing w:after="0" w:line="220" w:lineRule="atLeast"/>
        <w:jc w:val="center"/>
        <w:rPr>
          <w:rFonts w:ascii="Arial" w:eastAsia="MS Mincho" w:hAnsi="Arial" w:cs="Arial"/>
          <w:b/>
        </w:rPr>
      </w:pPr>
      <w:r w:rsidRPr="008326BC">
        <w:rPr>
          <w:rFonts w:ascii="Arial" w:eastAsia="MS Mincho" w:hAnsi="Arial" w:cs="Arial"/>
          <w:b/>
        </w:rPr>
        <w:t>Partie A</w:t>
      </w:r>
    </w:p>
    <w:p w14:paraId="53ECF04C" w14:textId="77777777" w:rsidR="001872BB" w:rsidRPr="008326BC" w:rsidRDefault="001872BB" w:rsidP="001872BB">
      <w:pPr>
        <w:autoSpaceDE w:val="0"/>
        <w:autoSpaceDN w:val="0"/>
        <w:adjustRightInd w:val="0"/>
        <w:spacing w:after="0" w:line="220" w:lineRule="atLeast"/>
        <w:jc w:val="center"/>
        <w:rPr>
          <w:rFonts w:ascii="Arial" w:eastAsia="MS Mincho" w:hAnsi="Arial" w:cs="Arial"/>
          <w:b/>
        </w:rPr>
      </w:pPr>
      <w:r w:rsidRPr="008326BC">
        <w:rPr>
          <w:rFonts w:ascii="Arial" w:eastAsia="MS Mincho" w:hAnsi="Arial" w:cs="Arial"/>
          <w:b/>
        </w:rPr>
        <w:t>Augmentation de la rétribution d’élimination à 8,50 euros à compter du 1</w:t>
      </w:r>
      <w:r w:rsidRPr="008326BC">
        <w:rPr>
          <w:rFonts w:ascii="Arial" w:eastAsia="MS Mincho" w:hAnsi="Arial" w:cs="Arial"/>
          <w:b/>
          <w:vertAlign w:val="superscript"/>
        </w:rPr>
        <w:t>er</w:t>
      </w:r>
      <w:r w:rsidRPr="008326BC">
        <w:rPr>
          <w:rFonts w:ascii="Arial" w:eastAsia="MS Mincho" w:hAnsi="Arial" w:cs="Arial"/>
          <w:b/>
        </w:rPr>
        <w:t xml:space="preserve"> janvier 2021</w:t>
      </w:r>
    </w:p>
    <w:p w14:paraId="43CB771D" w14:textId="77777777" w:rsidR="001872BB" w:rsidRPr="008326BC" w:rsidRDefault="001872BB" w:rsidP="001872BB">
      <w:pPr>
        <w:autoSpaceDE w:val="0"/>
        <w:autoSpaceDN w:val="0"/>
        <w:adjustRightInd w:val="0"/>
        <w:spacing w:after="0" w:line="220" w:lineRule="atLeast"/>
        <w:jc w:val="center"/>
        <w:rPr>
          <w:rFonts w:ascii="Arial" w:eastAsia="MS Mincho" w:hAnsi="Arial" w:cs="Arial"/>
          <w:b/>
        </w:rPr>
      </w:pPr>
      <w:r w:rsidRPr="008326BC">
        <w:rPr>
          <w:rFonts w:ascii="Arial" w:eastAsia="MS Mincho" w:hAnsi="Arial" w:cs="Arial"/>
          <w:b/>
        </w:rPr>
        <w:t>Amendement de l’article 3.03 du Règlement d’application</w:t>
      </w:r>
    </w:p>
    <w:p w14:paraId="6FA575C3" w14:textId="07779B45" w:rsidR="001872BB" w:rsidRPr="008326BC" w:rsidRDefault="007270C2" w:rsidP="001872BB">
      <w:pPr>
        <w:autoSpaceDE w:val="0"/>
        <w:autoSpaceDN w:val="0"/>
        <w:adjustRightInd w:val="0"/>
        <w:spacing w:after="0" w:line="220" w:lineRule="atLeast"/>
        <w:jc w:val="center"/>
        <w:rPr>
          <w:rFonts w:ascii="Arial" w:hAnsi="Arial" w:cs="Arial"/>
          <w:b/>
        </w:rPr>
      </w:pPr>
      <w:r>
        <w:rPr>
          <w:rFonts w:ascii="Arial" w:eastAsia="MS Mincho" w:hAnsi="Arial" w:cs="Arial"/>
          <w:b/>
        </w:rPr>
        <w:t>R</w:t>
      </w:r>
      <w:r w:rsidR="001872BB" w:rsidRPr="008326BC">
        <w:rPr>
          <w:rFonts w:ascii="Arial" w:eastAsia="MS Mincho" w:hAnsi="Arial" w:cs="Arial"/>
          <w:b/>
        </w:rPr>
        <w:t>ésolution</w:t>
      </w:r>
    </w:p>
    <w:p w14:paraId="39A3BF10" w14:textId="77777777" w:rsidR="001872BB" w:rsidRPr="008326BC" w:rsidRDefault="001872BB" w:rsidP="001872BB">
      <w:pPr>
        <w:pBdr>
          <w:bottom w:val="single" w:sz="4" w:space="1" w:color="auto"/>
        </w:pBdr>
        <w:tabs>
          <w:tab w:val="left" w:pos="3260"/>
          <w:tab w:val="left" w:pos="6521"/>
        </w:tabs>
        <w:autoSpaceDN w:val="0"/>
        <w:spacing w:after="0" w:line="240" w:lineRule="atLeast"/>
        <w:rPr>
          <w:rFonts w:ascii="Arial" w:eastAsia="MS Mincho" w:hAnsi="Arial" w:cs="Arial"/>
          <w:snapToGrid w:val="0"/>
          <w:sz w:val="20"/>
          <w:szCs w:val="20"/>
        </w:rPr>
      </w:pPr>
    </w:p>
    <w:p w14:paraId="59E5A127" w14:textId="77777777" w:rsidR="001872BB" w:rsidRPr="008326BC" w:rsidRDefault="001872BB" w:rsidP="001872BB">
      <w:pPr>
        <w:pBdr>
          <w:bottom w:val="single" w:sz="4" w:space="1" w:color="auto"/>
        </w:pBdr>
        <w:tabs>
          <w:tab w:val="left" w:pos="3260"/>
          <w:tab w:val="left" w:pos="6521"/>
        </w:tabs>
        <w:autoSpaceDN w:val="0"/>
        <w:spacing w:after="0" w:line="240" w:lineRule="atLeast"/>
        <w:rPr>
          <w:rFonts w:ascii="Arial" w:eastAsia="MS Mincho" w:hAnsi="Arial" w:cs="Arial"/>
          <w:snapToGrid w:val="0"/>
          <w:sz w:val="20"/>
          <w:szCs w:val="20"/>
        </w:rPr>
      </w:pPr>
    </w:p>
    <w:p w14:paraId="596434ED" w14:textId="77777777" w:rsidR="001872BB" w:rsidRPr="008326BC" w:rsidRDefault="001872BB" w:rsidP="001872BB">
      <w:pPr>
        <w:pBdr>
          <w:bottom w:val="single" w:sz="4" w:space="1" w:color="auto"/>
        </w:pBdr>
        <w:tabs>
          <w:tab w:val="left" w:pos="3260"/>
          <w:tab w:val="left" w:pos="6521"/>
        </w:tabs>
        <w:autoSpaceDN w:val="0"/>
        <w:spacing w:after="0" w:line="240" w:lineRule="atLeast"/>
        <w:rPr>
          <w:rFonts w:ascii="Arial" w:eastAsia="MS Mincho" w:hAnsi="Arial" w:cs="Arial"/>
          <w:snapToGrid w:val="0"/>
          <w:sz w:val="20"/>
          <w:szCs w:val="20"/>
        </w:rPr>
      </w:pPr>
      <w:r w:rsidRPr="008326BC">
        <w:rPr>
          <w:rFonts w:ascii="Arial" w:eastAsia="MS Mincho" w:hAnsi="Arial" w:cs="Arial"/>
          <w:snapToGrid w:val="0"/>
          <w:sz w:val="20"/>
          <w:szCs w:val="20"/>
        </w:rPr>
        <w:t>Communication du Secrétariat</w:t>
      </w:r>
    </w:p>
    <w:p w14:paraId="11021CE3" w14:textId="77777777" w:rsidR="007421EB" w:rsidRPr="008326BC" w:rsidRDefault="007421EB" w:rsidP="001872BB">
      <w:pPr>
        <w:spacing w:after="0" w:line="240" w:lineRule="auto"/>
        <w:jc w:val="both"/>
        <w:rPr>
          <w:rFonts w:ascii="Arial" w:eastAsia="MS Mincho" w:hAnsi="Arial" w:cs="Arial"/>
          <w:sz w:val="20"/>
          <w:szCs w:val="20"/>
        </w:rPr>
      </w:pPr>
    </w:p>
    <w:p w14:paraId="206A9CCF" w14:textId="5030BA23" w:rsidR="001872BB" w:rsidRPr="008326BC" w:rsidRDefault="001872BB" w:rsidP="001872BB">
      <w:pPr>
        <w:spacing w:after="0" w:line="240" w:lineRule="auto"/>
        <w:jc w:val="both"/>
        <w:rPr>
          <w:rFonts w:ascii="Arial" w:eastAsia="MS Mincho" w:hAnsi="Arial" w:cs="Arial"/>
          <w:sz w:val="20"/>
          <w:szCs w:val="20"/>
        </w:rPr>
      </w:pPr>
      <w:r w:rsidRPr="008326BC">
        <w:rPr>
          <w:rFonts w:ascii="Arial" w:eastAsia="MS Mincho" w:hAnsi="Arial" w:cs="Arial"/>
          <w:sz w:val="20"/>
          <w:szCs w:val="20"/>
        </w:rPr>
        <w:t xml:space="preserve">Lors de sa réunion le 18 décembre 2019, la Conférence des Parties Contractantes a décidé de maintenir le montant de la rétribution d’élimination à 7,50 euros pour 1000 l de gazole détaxé en 2020. </w:t>
      </w:r>
    </w:p>
    <w:p w14:paraId="663D5F9A" w14:textId="04609D15" w:rsidR="0085460C" w:rsidRDefault="0085460C" w:rsidP="001872BB">
      <w:pPr>
        <w:spacing w:after="0" w:line="240" w:lineRule="auto"/>
        <w:jc w:val="both"/>
        <w:rPr>
          <w:rFonts w:ascii="Arial" w:eastAsia="MS Mincho" w:hAnsi="Arial" w:cs="Arial"/>
          <w:sz w:val="20"/>
          <w:szCs w:val="20"/>
        </w:rPr>
      </w:pPr>
      <w:r w:rsidRPr="0085460C">
        <w:rPr>
          <w:rFonts w:ascii="Arial" w:eastAsia="MS Mincho" w:hAnsi="Arial" w:cs="Arial"/>
          <w:sz w:val="20"/>
          <w:szCs w:val="20"/>
        </w:rPr>
        <w:t>En 2019, l</w:t>
      </w:r>
      <w:r>
        <w:rPr>
          <w:rFonts w:ascii="Arial" w:eastAsia="MS Mincho" w:hAnsi="Arial" w:cs="Arial"/>
          <w:sz w:val="20"/>
          <w:szCs w:val="20"/>
        </w:rPr>
        <w:t>’IIPC</w:t>
      </w:r>
      <w:r w:rsidRPr="0085460C">
        <w:rPr>
          <w:rFonts w:ascii="Arial" w:eastAsia="MS Mincho" w:hAnsi="Arial" w:cs="Arial"/>
          <w:sz w:val="20"/>
          <w:szCs w:val="20"/>
        </w:rPr>
        <w:t xml:space="preserve"> a analysé les r</w:t>
      </w:r>
      <w:r>
        <w:rPr>
          <w:rFonts w:ascii="Arial" w:eastAsia="MS Mincho" w:hAnsi="Arial" w:cs="Arial"/>
          <w:sz w:val="20"/>
          <w:szCs w:val="20"/>
        </w:rPr>
        <w:t>étributions</w:t>
      </w:r>
      <w:r w:rsidRPr="0085460C">
        <w:rPr>
          <w:rFonts w:ascii="Arial" w:eastAsia="MS Mincho" w:hAnsi="Arial" w:cs="Arial"/>
          <w:sz w:val="20"/>
          <w:szCs w:val="20"/>
        </w:rPr>
        <w:t xml:space="preserve"> d'élimination perçues ces dernières années et les coûts de la collecte dans la zone de gestion d</w:t>
      </w:r>
      <w:r w:rsidR="00FD1351">
        <w:rPr>
          <w:rFonts w:ascii="Arial" w:eastAsia="MS Mincho" w:hAnsi="Arial" w:cs="Arial"/>
          <w:sz w:val="20"/>
          <w:szCs w:val="20"/>
        </w:rPr>
        <w:t>e la</w:t>
      </w:r>
      <w:r w:rsidRPr="0085460C">
        <w:rPr>
          <w:rFonts w:ascii="Arial" w:eastAsia="MS Mincho" w:hAnsi="Arial" w:cs="Arial"/>
          <w:sz w:val="20"/>
          <w:szCs w:val="20"/>
        </w:rPr>
        <w:t xml:space="preserve"> CDNI. Dans les premières années suivant l'entrée en vigueur de la Convention, les recettes ont dépassé les coûts. Toutefois, l'évolution de ces dernières années montre que l'excédent accumulé a </w:t>
      </w:r>
      <w:r>
        <w:rPr>
          <w:rFonts w:ascii="Arial" w:eastAsia="MS Mincho" w:hAnsi="Arial" w:cs="Arial"/>
          <w:sz w:val="20"/>
          <w:szCs w:val="20"/>
        </w:rPr>
        <w:t>diminué</w:t>
      </w:r>
      <w:r w:rsidRPr="0085460C">
        <w:rPr>
          <w:rFonts w:ascii="Arial" w:eastAsia="MS Mincho" w:hAnsi="Arial" w:cs="Arial"/>
          <w:sz w:val="20"/>
          <w:szCs w:val="20"/>
        </w:rPr>
        <w:t xml:space="preserve"> lentement mais sûrement et qu'un déficit pourrait se produire à partir de 2021. C'est pourquoi l'I</w:t>
      </w:r>
      <w:r w:rsidR="00FD1351">
        <w:rPr>
          <w:rFonts w:ascii="Arial" w:eastAsia="MS Mincho" w:hAnsi="Arial" w:cs="Arial"/>
          <w:sz w:val="20"/>
          <w:szCs w:val="20"/>
        </w:rPr>
        <w:t>IPC</w:t>
      </w:r>
      <w:r w:rsidRPr="0085460C">
        <w:rPr>
          <w:rFonts w:ascii="Arial" w:eastAsia="MS Mincho" w:hAnsi="Arial" w:cs="Arial"/>
          <w:sz w:val="20"/>
          <w:szCs w:val="20"/>
        </w:rPr>
        <w:t xml:space="preserve"> a conseillé d'augmenter la </w:t>
      </w:r>
      <w:r w:rsidR="00FD1351">
        <w:rPr>
          <w:rFonts w:ascii="Arial" w:eastAsia="MS Mincho" w:hAnsi="Arial" w:cs="Arial"/>
          <w:sz w:val="20"/>
          <w:szCs w:val="20"/>
        </w:rPr>
        <w:t>rétribution</w:t>
      </w:r>
      <w:r w:rsidRPr="0085460C">
        <w:rPr>
          <w:rFonts w:ascii="Arial" w:eastAsia="MS Mincho" w:hAnsi="Arial" w:cs="Arial"/>
          <w:sz w:val="20"/>
          <w:szCs w:val="20"/>
        </w:rPr>
        <w:t xml:space="preserve"> d'élimination.</w:t>
      </w:r>
    </w:p>
    <w:p w14:paraId="350E76A9" w14:textId="569C7EB3" w:rsidR="001872BB" w:rsidRDefault="001872BB" w:rsidP="001872BB">
      <w:pPr>
        <w:spacing w:after="0" w:line="240" w:lineRule="auto"/>
        <w:jc w:val="both"/>
        <w:rPr>
          <w:rFonts w:ascii="Arial" w:eastAsia="MS Mincho" w:hAnsi="Arial" w:cs="Arial"/>
          <w:sz w:val="20"/>
          <w:szCs w:val="20"/>
        </w:rPr>
      </w:pPr>
      <w:r w:rsidRPr="008326BC">
        <w:rPr>
          <w:rFonts w:ascii="Arial" w:eastAsia="MS Mincho" w:hAnsi="Arial" w:cs="Arial"/>
          <w:sz w:val="20"/>
          <w:szCs w:val="20"/>
        </w:rPr>
        <w:t xml:space="preserve">La CPC a </w:t>
      </w:r>
      <w:r w:rsidR="00FD1351" w:rsidRPr="00FD1351">
        <w:rPr>
          <w:rFonts w:ascii="Arial" w:eastAsia="MS Mincho" w:hAnsi="Arial" w:cs="Arial"/>
          <w:sz w:val="20"/>
          <w:szCs w:val="20"/>
        </w:rPr>
        <w:t xml:space="preserve">exprimé son intention </w:t>
      </w:r>
      <w:r w:rsidRPr="008326BC">
        <w:rPr>
          <w:rFonts w:ascii="Arial" w:eastAsia="MS Mincho" w:hAnsi="Arial" w:cs="Arial"/>
          <w:sz w:val="20"/>
          <w:szCs w:val="20"/>
        </w:rPr>
        <w:t>de porter ce montant à 8,50 euros en 2021, tenant compte du rapport de l’IIPC (Résolution CDNI 2019-II-3), au moyen d’une résolution amendant l’article 3.03 du Règlement d’application à adopter dès juillet 2020 avec entrée en vigueur au 1</w:t>
      </w:r>
      <w:r w:rsidRPr="008326BC">
        <w:rPr>
          <w:rFonts w:ascii="Arial" w:eastAsia="MS Mincho" w:hAnsi="Arial" w:cs="Arial"/>
          <w:sz w:val="20"/>
          <w:szCs w:val="20"/>
          <w:vertAlign w:val="superscript"/>
        </w:rPr>
        <w:t>er</w:t>
      </w:r>
      <w:r w:rsidRPr="008326BC">
        <w:rPr>
          <w:rFonts w:ascii="Arial" w:eastAsia="MS Mincho" w:hAnsi="Arial" w:cs="Arial"/>
          <w:sz w:val="20"/>
          <w:szCs w:val="20"/>
        </w:rPr>
        <w:t xml:space="preserve"> janvier 2021. Il convient en effet de laisser un délai nécessaire à l’adaptation du système de paiement électronique et à la bonne information de la profession et des parties prenantes du système.</w:t>
      </w:r>
    </w:p>
    <w:p w14:paraId="04BF2F60" w14:textId="77777777" w:rsidR="00F0212E" w:rsidRDefault="00F0212E" w:rsidP="001872BB">
      <w:pPr>
        <w:spacing w:after="0" w:line="240" w:lineRule="auto"/>
        <w:jc w:val="both"/>
        <w:rPr>
          <w:rFonts w:ascii="Arial" w:eastAsia="MS Mincho" w:hAnsi="Arial" w:cs="Arial"/>
          <w:sz w:val="20"/>
          <w:szCs w:val="20"/>
        </w:rPr>
      </w:pPr>
    </w:p>
    <w:p w14:paraId="06EAF37C" w14:textId="09434667" w:rsidR="001872BB" w:rsidRDefault="001872BB" w:rsidP="001872BB">
      <w:pPr>
        <w:spacing w:after="0" w:line="240" w:lineRule="auto"/>
        <w:jc w:val="both"/>
        <w:rPr>
          <w:rFonts w:ascii="Arial" w:eastAsia="MS Mincho" w:hAnsi="Arial" w:cs="Arial"/>
          <w:sz w:val="20"/>
          <w:szCs w:val="20"/>
        </w:rPr>
      </w:pPr>
    </w:p>
    <w:p w14:paraId="74F0916A" w14:textId="77777777" w:rsidR="00F82B7D" w:rsidRPr="008326BC" w:rsidRDefault="00F82B7D" w:rsidP="001872BB">
      <w:pPr>
        <w:spacing w:after="0" w:line="240" w:lineRule="auto"/>
        <w:jc w:val="both"/>
        <w:rPr>
          <w:rFonts w:ascii="Arial" w:eastAsia="MS Mincho" w:hAnsi="Arial" w:cs="Arial"/>
          <w:sz w:val="20"/>
          <w:szCs w:val="20"/>
        </w:rPr>
      </w:pPr>
    </w:p>
    <w:p w14:paraId="195C9236" w14:textId="77777777" w:rsidR="001872BB" w:rsidRPr="008326BC" w:rsidRDefault="001872BB" w:rsidP="001872BB">
      <w:pPr>
        <w:spacing w:after="0" w:line="240" w:lineRule="auto"/>
        <w:jc w:val="both"/>
        <w:rPr>
          <w:rFonts w:ascii="Arial" w:eastAsia="MS Mincho" w:hAnsi="Arial" w:cs="Arial"/>
          <w:sz w:val="20"/>
          <w:szCs w:val="20"/>
        </w:rPr>
      </w:pPr>
    </w:p>
    <w:p w14:paraId="0F61F025" w14:textId="77777777" w:rsidR="001872BB" w:rsidRPr="008326BC" w:rsidRDefault="001872BB" w:rsidP="001872BB">
      <w:pPr>
        <w:spacing w:after="0" w:line="240" w:lineRule="atLeast"/>
        <w:jc w:val="both"/>
        <w:rPr>
          <w:rFonts w:ascii="Arial" w:hAnsi="Arial" w:cs="Arial"/>
          <w:bCs/>
          <w:i/>
          <w:iCs/>
          <w:sz w:val="20"/>
          <w:szCs w:val="20"/>
        </w:rPr>
      </w:pPr>
      <w:r w:rsidRPr="008326BC">
        <w:rPr>
          <w:rFonts w:ascii="Arial" w:hAnsi="Arial" w:cs="Arial"/>
          <w:bCs/>
          <w:i/>
          <w:iCs/>
          <w:sz w:val="20"/>
          <w:szCs w:val="20"/>
        </w:rPr>
        <w:t>En complément au présent projet de résolution, le Secrétariat transmet une première analyse du service de l’Observation du marché de la CCNR concernant les effets de la crise de Covid-19 sur la navigation intérieure pour l’année 2020. Le Secrétariat transmettra également une analyse complémentaire avec les données du SPE-CDNI pour les 5 premiers mois de l’année 2020.</w:t>
      </w:r>
    </w:p>
    <w:p w14:paraId="3B467CB4" w14:textId="77777777" w:rsidR="001872BB" w:rsidRPr="008326BC" w:rsidRDefault="001872BB" w:rsidP="001872BB">
      <w:pPr>
        <w:spacing w:after="0" w:line="240" w:lineRule="atLeast"/>
        <w:jc w:val="both"/>
        <w:rPr>
          <w:rFonts w:ascii="Arial" w:hAnsi="Arial" w:cs="Arial"/>
          <w:b/>
          <w:sz w:val="20"/>
          <w:szCs w:val="20"/>
        </w:rPr>
      </w:pPr>
    </w:p>
    <w:p w14:paraId="1A2AE740" w14:textId="77777777" w:rsidR="001872BB" w:rsidRPr="008326BC" w:rsidRDefault="001872BB" w:rsidP="001872BB">
      <w:pPr>
        <w:spacing w:after="0" w:line="240" w:lineRule="atLeast"/>
        <w:jc w:val="both"/>
        <w:rPr>
          <w:rFonts w:ascii="Arial" w:hAnsi="Arial" w:cs="Arial"/>
          <w:b/>
          <w:sz w:val="20"/>
          <w:szCs w:val="20"/>
        </w:rPr>
      </w:pPr>
    </w:p>
    <w:p w14:paraId="7AF63E44" w14:textId="77777777" w:rsidR="001872BB" w:rsidRPr="008326BC" w:rsidRDefault="001872BB" w:rsidP="001872BB">
      <w:pPr>
        <w:spacing w:after="0" w:line="240" w:lineRule="atLeast"/>
        <w:jc w:val="both"/>
        <w:rPr>
          <w:rFonts w:ascii="Arial" w:hAnsi="Arial" w:cs="Arial"/>
          <w:b/>
          <w:sz w:val="20"/>
          <w:szCs w:val="20"/>
        </w:rPr>
      </w:pPr>
      <w:r w:rsidRPr="008326BC">
        <w:rPr>
          <w:rFonts w:ascii="Arial" w:hAnsi="Arial" w:cs="Arial"/>
          <w:b/>
          <w:sz w:val="20"/>
          <w:szCs w:val="20"/>
        </w:rPr>
        <w:t>Effets de la crise de Covid-19 sur la navigation intérieure : premières analyses du service de l’Observation du marché de la CCNR, mai 2020</w:t>
      </w:r>
    </w:p>
    <w:p w14:paraId="53BFA380" w14:textId="77777777" w:rsidR="001872BB" w:rsidRPr="008326BC" w:rsidRDefault="001872BB" w:rsidP="001872BB">
      <w:pPr>
        <w:spacing w:after="0" w:line="240" w:lineRule="atLeast"/>
        <w:jc w:val="both"/>
        <w:rPr>
          <w:rFonts w:ascii="Arial" w:hAnsi="Arial" w:cs="Arial"/>
          <w:bCs/>
          <w:sz w:val="20"/>
          <w:szCs w:val="20"/>
        </w:rPr>
      </w:pPr>
    </w:p>
    <w:p w14:paraId="79F03572" w14:textId="77777777" w:rsidR="001872BB" w:rsidRPr="008326BC" w:rsidRDefault="001872BB" w:rsidP="001872BB">
      <w:pPr>
        <w:spacing w:after="0" w:line="240" w:lineRule="atLeast"/>
        <w:jc w:val="both"/>
        <w:rPr>
          <w:rFonts w:ascii="Arial" w:hAnsi="Arial" w:cs="Arial"/>
          <w:b/>
          <w:sz w:val="20"/>
          <w:szCs w:val="20"/>
        </w:rPr>
      </w:pPr>
      <w:r w:rsidRPr="008326BC">
        <w:rPr>
          <w:rFonts w:ascii="Arial" w:hAnsi="Arial" w:cs="Arial"/>
          <w:b/>
          <w:sz w:val="20"/>
          <w:szCs w:val="20"/>
        </w:rPr>
        <w:t>Transport de marchandises et de passagers :</w:t>
      </w:r>
    </w:p>
    <w:p w14:paraId="0F3F4F5A" w14:textId="77777777" w:rsidR="001872BB" w:rsidRPr="008326BC" w:rsidRDefault="001872BB" w:rsidP="001872BB">
      <w:pPr>
        <w:spacing w:after="0" w:line="240" w:lineRule="atLeast"/>
        <w:jc w:val="both"/>
        <w:rPr>
          <w:rFonts w:ascii="Arial" w:hAnsi="Arial" w:cs="Arial"/>
          <w:sz w:val="20"/>
          <w:szCs w:val="20"/>
        </w:rPr>
      </w:pPr>
      <w:r w:rsidRPr="008326BC">
        <w:rPr>
          <w:rFonts w:ascii="Arial" w:hAnsi="Arial" w:cs="Arial"/>
          <w:sz w:val="20"/>
          <w:szCs w:val="20"/>
        </w:rPr>
        <w:t>En raison de la crise provoquée par le Covid-19, l'activité dans le secteur du transport de passagers (trafic de croisières et d'excursions journalières) s'est pratiquement arrêtée au cours du premier semestre 2020 (-95 %).</w:t>
      </w:r>
    </w:p>
    <w:p w14:paraId="0AD3E9C5" w14:textId="77777777" w:rsidR="001872BB" w:rsidRPr="008326BC" w:rsidRDefault="001872BB" w:rsidP="001872BB">
      <w:pPr>
        <w:spacing w:after="0" w:line="240" w:lineRule="atLeast"/>
        <w:jc w:val="both"/>
        <w:rPr>
          <w:rFonts w:ascii="Arial" w:hAnsi="Arial" w:cs="Arial"/>
          <w:sz w:val="20"/>
          <w:szCs w:val="20"/>
        </w:rPr>
      </w:pPr>
      <w:r w:rsidRPr="008326BC">
        <w:rPr>
          <w:rFonts w:ascii="Arial" w:hAnsi="Arial" w:cs="Arial"/>
          <w:sz w:val="20"/>
          <w:szCs w:val="20"/>
        </w:rPr>
        <w:t xml:space="preserve">Pour le transport de marchandises, la diminution a été moins importante, selon le segment de marchandises et la région concernée. Sur la base d'une comparaison avec la baisse du PIB observée pendant la crise financière en 2009 et son impact sur la demande de transport fluvial en 2009, il est possible d'estimer l'impact de la crise due au Covid-19. Cette estimation suggère pour 2020 </w:t>
      </w:r>
      <w:r w:rsidRPr="008326BC">
        <w:rPr>
          <w:rFonts w:ascii="Arial" w:hAnsi="Arial" w:cs="Arial"/>
          <w:b/>
          <w:sz w:val="20"/>
          <w:szCs w:val="20"/>
        </w:rPr>
        <w:t xml:space="preserve">un possible recul d'environ 20 à 25 % du transport </w:t>
      </w:r>
      <w:r w:rsidR="008326BC">
        <w:rPr>
          <w:rFonts w:ascii="Arial" w:hAnsi="Arial" w:cs="Arial"/>
          <w:b/>
          <w:sz w:val="20"/>
          <w:szCs w:val="20"/>
        </w:rPr>
        <w:t xml:space="preserve">fluvial </w:t>
      </w:r>
      <w:r w:rsidRPr="008326BC">
        <w:rPr>
          <w:rFonts w:ascii="Arial" w:hAnsi="Arial" w:cs="Arial"/>
          <w:b/>
          <w:sz w:val="20"/>
          <w:szCs w:val="20"/>
        </w:rPr>
        <w:t>de marchandises</w:t>
      </w:r>
      <w:r w:rsidRPr="008326BC">
        <w:rPr>
          <w:rFonts w:ascii="Arial" w:hAnsi="Arial" w:cs="Arial"/>
          <w:sz w:val="20"/>
          <w:szCs w:val="20"/>
        </w:rPr>
        <w:t xml:space="preserve">, si les différentes mesures de confinement </w:t>
      </w:r>
      <w:r w:rsidR="008326BC">
        <w:rPr>
          <w:rFonts w:ascii="Arial" w:hAnsi="Arial" w:cs="Arial"/>
          <w:sz w:val="20"/>
          <w:szCs w:val="20"/>
        </w:rPr>
        <w:t>devaient être</w:t>
      </w:r>
      <w:r w:rsidRPr="008326BC">
        <w:rPr>
          <w:rFonts w:ascii="Arial" w:hAnsi="Arial" w:cs="Arial"/>
          <w:sz w:val="20"/>
          <w:szCs w:val="20"/>
        </w:rPr>
        <w:t xml:space="preserve"> maintenues pendant toute l'année 2020. Il s'agit bien sûr d'une estimation et des baisses d'une ampleur </w:t>
      </w:r>
      <w:r w:rsidR="008326BC">
        <w:rPr>
          <w:rFonts w:ascii="Arial" w:hAnsi="Arial" w:cs="Arial"/>
          <w:sz w:val="20"/>
          <w:szCs w:val="20"/>
        </w:rPr>
        <w:t xml:space="preserve">différente </w:t>
      </w:r>
      <w:r w:rsidRPr="008326BC">
        <w:rPr>
          <w:rFonts w:ascii="Arial" w:hAnsi="Arial" w:cs="Arial"/>
          <w:sz w:val="20"/>
          <w:szCs w:val="20"/>
        </w:rPr>
        <w:t>sont également possibles.</w:t>
      </w:r>
    </w:p>
    <w:p w14:paraId="7EBBD546" w14:textId="77777777" w:rsidR="001872BB" w:rsidRPr="008326BC" w:rsidRDefault="001872BB" w:rsidP="001872BB">
      <w:pPr>
        <w:spacing w:after="0" w:line="240" w:lineRule="atLeast"/>
        <w:jc w:val="both"/>
        <w:rPr>
          <w:rFonts w:ascii="Arial" w:hAnsi="Arial" w:cs="Arial"/>
          <w:bCs/>
          <w:sz w:val="20"/>
          <w:szCs w:val="20"/>
        </w:rPr>
      </w:pPr>
      <w:r w:rsidRPr="008326BC">
        <w:rPr>
          <w:rFonts w:ascii="Arial" w:hAnsi="Arial" w:cs="Arial"/>
          <w:bCs/>
          <w:sz w:val="20"/>
          <w:szCs w:val="20"/>
        </w:rPr>
        <w:t xml:space="preserve">Le transport des marchandises </w:t>
      </w:r>
      <w:r w:rsidR="008326BC">
        <w:rPr>
          <w:rFonts w:ascii="Arial" w:hAnsi="Arial" w:cs="Arial"/>
          <w:bCs/>
          <w:sz w:val="20"/>
          <w:szCs w:val="20"/>
        </w:rPr>
        <w:t>sèches</w:t>
      </w:r>
      <w:r w:rsidRPr="008326BC">
        <w:rPr>
          <w:rFonts w:ascii="Arial" w:hAnsi="Arial" w:cs="Arial"/>
          <w:bCs/>
          <w:sz w:val="20"/>
          <w:szCs w:val="20"/>
        </w:rPr>
        <w:t xml:space="preserve"> est particulièrement affecté, notamment en raison de la ferm</w:t>
      </w:r>
      <w:r w:rsidR="008326BC">
        <w:rPr>
          <w:rFonts w:ascii="Arial" w:hAnsi="Arial" w:cs="Arial"/>
          <w:bCs/>
          <w:sz w:val="20"/>
          <w:szCs w:val="20"/>
        </w:rPr>
        <w:t>eture des fleurons industriels.</w:t>
      </w:r>
    </w:p>
    <w:p w14:paraId="06F1CCCE" w14:textId="77777777" w:rsidR="001872BB" w:rsidRPr="008326BC" w:rsidRDefault="001872BB" w:rsidP="001872BB">
      <w:pPr>
        <w:spacing w:after="0" w:line="240" w:lineRule="atLeast"/>
        <w:jc w:val="both"/>
        <w:rPr>
          <w:rFonts w:ascii="Arial" w:hAnsi="Arial" w:cs="Arial"/>
          <w:bCs/>
          <w:sz w:val="20"/>
          <w:szCs w:val="20"/>
        </w:rPr>
      </w:pPr>
    </w:p>
    <w:p w14:paraId="054A9D62" w14:textId="77777777" w:rsidR="001872BB" w:rsidRPr="008326BC" w:rsidRDefault="001872BB" w:rsidP="001872BB">
      <w:pPr>
        <w:spacing w:after="0" w:line="240" w:lineRule="atLeast"/>
        <w:jc w:val="both"/>
        <w:rPr>
          <w:rFonts w:ascii="Arial" w:hAnsi="Arial" w:cs="Arial"/>
          <w:bCs/>
          <w:sz w:val="20"/>
          <w:szCs w:val="20"/>
        </w:rPr>
      </w:pPr>
      <w:r w:rsidRPr="008326BC">
        <w:rPr>
          <w:rFonts w:ascii="Arial" w:hAnsi="Arial" w:cs="Arial"/>
          <w:bCs/>
          <w:sz w:val="20"/>
          <w:szCs w:val="20"/>
        </w:rPr>
        <w:lastRenderedPageBreak/>
        <w:t>Cette estimation de 25</w:t>
      </w:r>
      <w:r w:rsidR="008326BC">
        <w:rPr>
          <w:rFonts w:ascii="Arial" w:hAnsi="Arial" w:cs="Arial"/>
          <w:bCs/>
          <w:sz w:val="20"/>
          <w:szCs w:val="20"/>
        </w:rPr>
        <w:t xml:space="preserve"> </w:t>
      </w:r>
      <w:r w:rsidRPr="008326BC">
        <w:rPr>
          <w:rFonts w:ascii="Arial" w:hAnsi="Arial" w:cs="Arial"/>
          <w:bCs/>
          <w:sz w:val="20"/>
          <w:szCs w:val="20"/>
        </w:rPr>
        <w:t>% est corroborée par les chiffres pour avril 2020 des ports de Bâle, Lyon, Mannheim et Karlsruhe qui enregistrent une baisse du transport fluvial de respectivement 18, 19, 25 et 17% (par rapport au mois d’avril 2019).</w:t>
      </w:r>
    </w:p>
    <w:p w14:paraId="1A8461F7" w14:textId="77777777" w:rsidR="001872BB" w:rsidRPr="008326BC" w:rsidRDefault="001872BB" w:rsidP="001872BB">
      <w:pPr>
        <w:spacing w:after="0" w:line="240" w:lineRule="atLeast"/>
        <w:jc w:val="both"/>
        <w:rPr>
          <w:rFonts w:ascii="Arial" w:hAnsi="Arial" w:cs="Arial"/>
          <w:bCs/>
          <w:sz w:val="20"/>
          <w:szCs w:val="20"/>
        </w:rPr>
      </w:pPr>
    </w:p>
    <w:p w14:paraId="63AEFE65" w14:textId="77777777" w:rsidR="001872BB" w:rsidRPr="008326BC" w:rsidRDefault="001872BB" w:rsidP="001872BB">
      <w:pPr>
        <w:spacing w:after="0" w:line="240" w:lineRule="atLeast"/>
        <w:jc w:val="both"/>
        <w:rPr>
          <w:rFonts w:ascii="Arial" w:hAnsi="Arial" w:cs="Arial"/>
          <w:bCs/>
          <w:sz w:val="20"/>
          <w:szCs w:val="20"/>
        </w:rPr>
      </w:pPr>
      <w:r w:rsidRPr="008326BC">
        <w:rPr>
          <w:rFonts w:ascii="Arial" w:hAnsi="Arial" w:cs="Arial"/>
          <w:bCs/>
          <w:sz w:val="20"/>
          <w:szCs w:val="20"/>
        </w:rPr>
        <w:t>Cela sans compter sur une possible nouvelle période de basses eaux en 2020, mais il n’existe aucune certitude aujourd’hui sur les conditions hydrologiques à venir.</w:t>
      </w:r>
    </w:p>
    <w:p w14:paraId="4B625556" w14:textId="77777777" w:rsidR="001872BB" w:rsidRPr="008326BC" w:rsidRDefault="001872BB" w:rsidP="001872BB">
      <w:pPr>
        <w:spacing w:after="0" w:line="240" w:lineRule="atLeast"/>
        <w:jc w:val="both"/>
        <w:rPr>
          <w:rFonts w:ascii="Arial" w:hAnsi="Arial" w:cs="Arial"/>
          <w:sz w:val="20"/>
          <w:szCs w:val="20"/>
        </w:rPr>
      </w:pPr>
    </w:p>
    <w:p w14:paraId="1670AC9F" w14:textId="77777777" w:rsidR="001872BB" w:rsidRPr="008326BC" w:rsidRDefault="008326BC" w:rsidP="001872BB">
      <w:pPr>
        <w:spacing w:after="0" w:line="240" w:lineRule="atLeast"/>
        <w:jc w:val="both"/>
        <w:rPr>
          <w:rFonts w:ascii="Arial" w:hAnsi="Arial" w:cs="Arial"/>
          <w:b/>
          <w:bCs/>
          <w:sz w:val="20"/>
          <w:szCs w:val="20"/>
        </w:rPr>
      </w:pPr>
      <w:r>
        <w:rPr>
          <w:rFonts w:ascii="Arial" w:hAnsi="Arial" w:cs="Arial"/>
          <w:b/>
          <w:bCs/>
          <w:sz w:val="20"/>
          <w:szCs w:val="20"/>
        </w:rPr>
        <w:t>Cours</w:t>
      </w:r>
      <w:r w:rsidR="001872BB" w:rsidRPr="008326BC">
        <w:rPr>
          <w:rFonts w:ascii="Arial" w:hAnsi="Arial" w:cs="Arial"/>
          <w:b/>
          <w:bCs/>
          <w:sz w:val="20"/>
          <w:szCs w:val="20"/>
        </w:rPr>
        <w:t xml:space="preserve"> du pétrole</w:t>
      </w:r>
    </w:p>
    <w:p w14:paraId="7B9B0435" w14:textId="77777777" w:rsidR="001872BB" w:rsidRPr="008326BC" w:rsidRDefault="001872BB" w:rsidP="001872BB">
      <w:pPr>
        <w:spacing w:after="0" w:line="240" w:lineRule="atLeast"/>
        <w:jc w:val="both"/>
        <w:rPr>
          <w:rFonts w:ascii="Arial" w:hAnsi="Arial" w:cs="Arial"/>
          <w:bCs/>
          <w:sz w:val="20"/>
          <w:szCs w:val="20"/>
        </w:rPr>
      </w:pPr>
      <w:r w:rsidRPr="008326BC">
        <w:rPr>
          <w:rFonts w:ascii="Arial" w:hAnsi="Arial" w:cs="Arial"/>
          <w:bCs/>
          <w:sz w:val="20"/>
          <w:szCs w:val="20"/>
        </w:rPr>
        <w:t xml:space="preserve">La crise est d’autre part marquée par une forte chute des </w:t>
      </w:r>
      <w:r w:rsidR="008326BC">
        <w:rPr>
          <w:rFonts w:ascii="Arial" w:hAnsi="Arial" w:cs="Arial"/>
          <w:bCs/>
          <w:sz w:val="20"/>
          <w:szCs w:val="20"/>
        </w:rPr>
        <w:t>cours</w:t>
      </w:r>
      <w:r w:rsidRPr="008326BC">
        <w:rPr>
          <w:rFonts w:ascii="Arial" w:hAnsi="Arial" w:cs="Arial"/>
          <w:bCs/>
          <w:sz w:val="20"/>
          <w:szCs w:val="20"/>
        </w:rPr>
        <w:t xml:space="preserve"> du pétrole. Les restrictions des déplacements internationaux et nationaux dans le monde entier et la forte baisse du trafic routier entraînent un recul sans précédent de la demande en pétrole, puisque le secteur des transports représente plus de 60 % de la demande mondiale en pétrole. Entre août 2019 et mars 2020, le cours du pétrole est passé de 57,60 dollars à 32,30 dollars (-39,6 %). Les principaux pays producteurs de pétrole n'étant pas parvenus à un accord pour réduire la production, la baisse s'est accélérée.</w:t>
      </w:r>
      <w:r w:rsidRPr="008326BC">
        <w:rPr>
          <w:rStyle w:val="Appelnotedebasdep"/>
          <w:rFonts w:ascii="Arial" w:hAnsi="Arial" w:cs="Arial"/>
          <w:bCs/>
          <w:sz w:val="20"/>
          <w:szCs w:val="20"/>
        </w:rPr>
        <w:footnoteReference w:id="2"/>
      </w:r>
    </w:p>
    <w:p w14:paraId="04FD6B28" w14:textId="77777777" w:rsidR="001872BB" w:rsidRPr="008326BC" w:rsidRDefault="001872BB" w:rsidP="001872BB">
      <w:pPr>
        <w:spacing w:after="0" w:line="240" w:lineRule="atLeast"/>
        <w:jc w:val="both"/>
        <w:rPr>
          <w:rFonts w:ascii="Arial" w:hAnsi="Arial" w:cs="Arial"/>
          <w:bCs/>
          <w:sz w:val="20"/>
          <w:szCs w:val="20"/>
        </w:rPr>
      </w:pPr>
      <w:r w:rsidRPr="008326BC">
        <w:rPr>
          <w:rFonts w:ascii="Arial" w:hAnsi="Arial" w:cs="Arial"/>
          <w:bCs/>
          <w:sz w:val="20"/>
          <w:szCs w:val="20"/>
        </w:rPr>
        <w:t>Cette évolution des cours s'accompagne d'une forte accumulation de stocks de pétrole, de réductions volontaires de la production et d'un</w:t>
      </w:r>
      <w:r w:rsidR="008326BC">
        <w:rPr>
          <w:rFonts w:ascii="Arial" w:hAnsi="Arial" w:cs="Arial"/>
          <w:bCs/>
          <w:sz w:val="20"/>
          <w:szCs w:val="20"/>
        </w:rPr>
        <w:t xml:space="preserve"> recul</w:t>
      </w:r>
      <w:r w:rsidRPr="008326BC">
        <w:rPr>
          <w:rFonts w:ascii="Arial" w:hAnsi="Arial" w:cs="Arial"/>
          <w:bCs/>
          <w:sz w:val="20"/>
          <w:szCs w:val="20"/>
        </w:rPr>
        <w:t xml:space="preserve"> de la production de produits pétroliers. Les marchés à terme laissent présager que le cours du pétrole restera inférieur à 45 dollars par baril jusqu'en 2023, cela en raison de la faiblesse persistante de la demande.</w:t>
      </w:r>
    </w:p>
    <w:p w14:paraId="0904816D" w14:textId="77777777" w:rsidR="001872BB" w:rsidRPr="008326BC" w:rsidRDefault="001872BB" w:rsidP="001872BB">
      <w:pPr>
        <w:spacing w:after="0" w:line="240" w:lineRule="atLeast"/>
        <w:rPr>
          <w:rFonts w:ascii="Arial" w:hAnsi="Arial" w:cs="Arial"/>
          <w:i/>
          <w:iCs/>
          <w:sz w:val="20"/>
          <w:szCs w:val="20"/>
        </w:rPr>
      </w:pPr>
    </w:p>
    <w:p w14:paraId="0CE5E64D" w14:textId="77777777" w:rsidR="001872BB" w:rsidRPr="008326BC" w:rsidRDefault="001872BB" w:rsidP="001872BB">
      <w:pPr>
        <w:spacing w:after="0" w:line="240" w:lineRule="atLeast"/>
        <w:rPr>
          <w:rFonts w:ascii="Arial" w:hAnsi="Arial" w:cs="Arial"/>
          <w:i/>
          <w:iCs/>
          <w:sz w:val="20"/>
          <w:szCs w:val="20"/>
        </w:rPr>
      </w:pPr>
      <w:r w:rsidRPr="008326BC">
        <w:rPr>
          <w:rFonts w:ascii="Arial" w:hAnsi="Arial" w:cs="Arial"/>
          <w:i/>
          <w:iCs/>
          <w:sz w:val="20"/>
          <w:szCs w:val="20"/>
        </w:rPr>
        <w:t>Extraits du rapport annuel de l’Observation du marché 2020 (publié en septembre 2020)</w:t>
      </w:r>
    </w:p>
    <w:p w14:paraId="6AC0D82F" w14:textId="77777777" w:rsidR="001872BB" w:rsidRPr="008326BC" w:rsidRDefault="001872BB" w:rsidP="001872BB">
      <w:pPr>
        <w:spacing w:after="0" w:line="240" w:lineRule="atLeast"/>
        <w:rPr>
          <w:rFonts w:ascii="Arial" w:hAnsi="Arial" w:cs="Arial"/>
          <w:i/>
          <w:iCs/>
          <w:sz w:val="20"/>
          <w:szCs w:val="20"/>
        </w:rPr>
      </w:pPr>
    </w:p>
    <w:p w14:paraId="03327678" w14:textId="6E4948A4" w:rsidR="001872BB" w:rsidRPr="008326BC" w:rsidRDefault="001872BB" w:rsidP="001872BB">
      <w:pPr>
        <w:spacing w:after="0" w:line="240" w:lineRule="atLeast"/>
        <w:rPr>
          <w:rFonts w:ascii="Arial" w:hAnsi="Arial" w:cs="Arial"/>
          <w:i/>
          <w:iCs/>
          <w:sz w:val="20"/>
          <w:szCs w:val="20"/>
        </w:rPr>
      </w:pPr>
      <w:r w:rsidRPr="008326BC">
        <w:rPr>
          <w:rFonts w:ascii="Arial" w:hAnsi="Arial" w:cs="Arial"/>
          <w:i/>
          <w:iCs/>
          <w:sz w:val="20"/>
          <w:szCs w:val="20"/>
        </w:rPr>
        <w:t xml:space="preserve">Voir également la lettre d’information de la CCNR, </w:t>
      </w:r>
      <w:proofErr w:type="spellStart"/>
      <w:r w:rsidRPr="008326BC">
        <w:rPr>
          <w:rFonts w:ascii="Arial" w:hAnsi="Arial" w:cs="Arial"/>
          <w:i/>
          <w:iCs/>
          <w:sz w:val="20"/>
          <w:szCs w:val="20"/>
        </w:rPr>
        <w:t>Economic</w:t>
      </w:r>
      <w:proofErr w:type="spellEnd"/>
      <w:r w:rsidRPr="008326BC">
        <w:rPr>
          <w:rFonts w:ascii="Arial" w:hAnsi="Arial" w:cs="Arial"/>
          <w:i/>
          <w:iCs/>
          <w:sz w:val="20"/>
          <w:szCs w:val="20"/>
        </w:rPr>
        <w:t xml:space="preserve"> impacts of the COVID-19 </w:t>
      </w:r>
      <w:proofErr w:type="spellStart"/>
      <w:r w:rsidRPr="008326BC">
        <w:rPr>
          <w:rFonts w:ascii="Arial" w:hAnsi="Arial" w:cs="Arial"/>
          <w:i/>
          <w:iCs/>
          <w:sz w:val="20"/>
          <w:szCs w:val="20"/>
        </w:rPr>
        <w:t>crisis</w:t>
      </w:r>
      <w:proofErr w:type="spellEnd"/>
      <w:r w:rsidRPr="008326BC">
        <w:rPr>
          <w:rFonts w:ascii="Arial" w:hAnsi="Arial" w:cs="Arial"/>
          <w:i/>
          <w:iCs/>
          <w:sz w:val="20"/>
          <w:szCs w:val="20"/>
        </w:rPr>
        <w:t xml:space="preserve"> on </w:t>
      </w:r>
      <w:proofErr w:type="spellStart"/>
      <w:r w:rsidRPr="008326BC">
        <w:rPr>
          <w:rFonts w:ascii="Arial" w:hAnsi="Arial" w:cs="Arial"/>
          <w:i/>
          <w:iCs/>
          <w:sz w:val="20"/>
          <w:szCs w:val="20"/>
        </w:rPr>
        <w:t>European</w:t>
      </w:r>
      <w:proofErr w:type="spellEnd"/>
      <w:r w:rsidRPr="008326BC">
        <w:rPr>
          <w:rFonts w:ascii="Arial" w:hAnsi="Arial" w:cs="Arial"/>
          <w:i/>
          <w:iCs/>
          <w:sz w:val="20"/>
          <w:szCs w:val="20"/>
        </w:rPr>
        <w:t xml:space="preserve"> </w:t>
      </w:r>
      <w:proofErr w:type="spellStart"/>
      <w:r w:rsidRPr="008326BC">
        <w:rPr>
          <w:rFonts w:ascii="Arial" w:hAnsi="Arial" w:cs="Arial"/>
          <w:i/>
          <w:iCs/>
          <w:sz w:val="20"/>
          <w:szCs w:val="20"/>
        </w:rPr>
        <w:t>inland</w:t>
      </w:r>
      <w:proofErr w:type="spellEnd"/>
      <w:r w:rsidRPr="008326BC">
        <w:rPr>
          <w:rFonts w:ascii="Arial" w:hAnsi="Arial" w:cs="Arial"/>
          <w:i/>
          <w:iCs/>
          <w:sz w:val="20"/>
          <w:szCs w:val="20"/>
        </w:rPr>
        <w:t xml:space="preserve"> navigation, 27 mars 2020: </w:t>
      </w:r>
      <w:r w:rsidR="00952DC4">
        <w:rPr>
          <w:rFonts w:ascii="Arial" w:hAnsi="Arial" w:cs="Arial"/>
          <w:i/>
          <w:iCs/>
          <w:sz w:val="20"/>
          <w:szCs w:val="20"/>
        </w:rPr>
        <w:br/>
      </w:r>
      <w:hyperlink r:id="rId9" w:history="1">
        <w:r w:rsidR="00952DC4" w:rsidRPr="008E1CEE">
          <w:rPr>
            <w:rStyle w:val="Lienhypertexte"/>
            <w:rFonts w:ascii="Arial" w:eastAsia="Arial" w:hAnsi="Arial" w:cs="Arial"/>
            <w:i/>
            <w:iCs/>
            <w:sz w:val="20"/>
            <w:szCs w:val="20"/>
          </w:rPr>
          <w:t>https://www.ccr-zkr.org/files/documents/covid19/20200327_CCNR_Economic_impacts.pdf</w:t>
        </w:r>
      </w:hyperlink>
      <w:r w:rsidRPr="008326BC">
        <w:rPr>
          <w:rFonts w:ascii="Arial" w:hAnsi="Arial" w:cs="Arial"/>
          <w:i/>
          <w:iCs/>
          <w:color w:val="0000FF" w:themeColor="hyperlink"/>
          <w:sz w:val="20"/>
          <w:szCs w:val="20"/>
          <w:u w:val="single"/>
        </w:rPr>
        <w:t xml:space="preserve"> </w:t>
      </w:r>
    </w:p>
    <w:p w14:paraId="41F78294" w14:textId="77777777" w:rsidR="001872BB" w:rsidRPr="008326BC" w:rsidRDefault="001872BB" w:rsidP="001872BB">
      <w:pPr>
        <w:spacing w:after="0" w:line="240" w:lineRule="auto"/>
        <w:jc w:val="both"/>
        <w:rPr>
          <w:rFonts w:ascii="Arial" w:eastAsia="MS Mincho" w:hAnsi="Arial" w:cs="Arial"/>
          <w:sz w:val="20"/>
          <w:szCs w:val="20"/>
        </w:rPr>
      </w:pPr>
    </w:p>
    <w:p w14:paraId="4F594F51" w14:textId="77777777" w:rsidR="001872BB" w:rsidRPr="008326BC" w:rsidRDefault="001872BB" w:rsidP="001872BB">
      <w:pPr>
        <w:spacing w:after="0" w:line="240" w:lineRule="auto"/>
        <w:jc w:val="both"/>
        <w:rPr>
          <w:rFonts w:ascii="Arial" w:eastAsia="MS Mincho" w:hAnsi="Arial" w:cs="Arial"/>
          <w:sz w:val="20"/>
          <w:szCs w:val="20"/>
        </w:rPr>
      </w:pPr>
    </w:p>
    <w:p w14:paraId="3044C851" w14:textId="77777777" w:rsidR="001872BB" w:rsidRPr="008326BC" w:rsidRDefault="001872BB" w:rsidP="001872BB">
      <w:pPr>
        <w:spacing w:after="0" w:line="240" w:lineRule="auto"/>
        <w:jc w:val="both"/>
        <w:rPr>
          <w:rFonts w:ascii="Arial" w:eastAsia="MS Mincho" w:hAnsi="Arial" w:cs="Arial"/>
          <w:b/>
          <w:bCs/>
          <w:sz w:val="20"/>
          <w:szCs w:val="20"/>
        </w:rPr>
      </w:pPr>
      <w:r w:rsidRPr="008326BC">
        <w:rPr>
          <w:rFonts w:ascii="Arial" w:eastAsia="MS Mincho" w:hAnsi="Arial" w:cs="Arial"/>
          <w:b/>
          <w:bCs/>
          <w:sz w:val="20"/>
          <w:szCs w:val="20"/>
        </w:rPr>
        <w:t>Annexe</w:t>
      </w:r>
    </w:p>
    <w:p w14:paraId="59C5A8DC" w14:textId="77777777" w:rsidR="001872BB" w:rsidRPr="008326BC" w:rsidRDefault="001872BB" w:rsidP="001872BB">
      <w:pPr>
        <w:rPr>
          <w:rFonts w:ascii="Arial" w:eastAsia="MS Mincho" w:hAnsi="Arial" w:cs="Arial"/>
          <w:b/>
          <w:bCs/>
          <w:sz w:val="20"/>
          <w:szCs w:val="20"/>
        </w:rPr>
      </w:pPr>
      <w:r w:rsidRPr="008326BC">
        <w:rPr>
          <w:rFonts w:ascii="Arial" w:eastAsia="MS Mincho" w:hAnsi="Arial" w:cs="Arial"/>
          <w:b/>
          <w:bCs/>
          <w:sz w:val="20"/>
          <w:szCs w:val="20"/>
        </w:rPr>
        <w:br w:type="page"/>
      </w:r>
    </w:p>
    <w:p w14:paraId="0EEBED2C" w14:textId="77777777" w:rsidR="001872BB" w:rsidRPr="008326BC" w:rsidRDefault="001872BB" w:rsidP="001872BB">
      <w:pPr>
        <w:spacing w:after="0" w:line="240" w:lineRule="auto"/>
        <w:jc w:val="right"/>
        <w:rPr>
          <w:rFonts w:ascii="Arial" w:eastAsia="MS Mincho" w:hAnsi="Arial" w:cs="Arial"/>
          <w:b/>
          <w:bCs/>
          <w:sz w:val="20"/>
          <w:szCs w:val="20"/>
        </w:rPr>
      </w:pPr>
      <w:r w:rsidRPr="008326BC">
        <w:rPr>
          <w:rFonts w:ascii="Arial" w:eastAsia="MS Mincho" w:hAnsi="Arial" w:cs="Arial"/>
          <w:b/>
          <w:bCs/>
          <w:sz w:val="20"/>
          <w:szCs w:val="20"/>
        </w:rPr>
        <w:lastRenderedPageBreak/>
        <w:t>Annexe</w:t>
      </w:r>
    </w:p>
    <w:p w14:paraId="0BF65E05" w14:textId="77777777" w:rsidR="001872BB" w:rsidRPr="008326BC" w:rsidRDefault="001872BB" w:rsidP="001872BB">
      <w:pPr>
        <w:spacing w:after="0" w:line="240" w:lineRule="auto"/>
        <w:jc w:val="both"/>
        <w:rPr>
          <w:rFonts w:ascii="Arial" w:eastAsia="MS Mincho" w:hAnsi="Arial" w:cs="Arial"/>
          <w:b/>
          <w:bCs/>
          <w:sz w:val="20"/>
          <w:szCs w:val="20"/>
        </w:rPr>
      </w:pPr>
    </w:p>
    <w:p w14:paraId="05819FAA" w14:textId="2891C354" w:rsidR="001872BB" w:rsidRPr="008326BC" w:rsidRDefault="001872BB" w:rsidP="001872BB">
      <w:pPr>
        <w:autoSpaceDE w:val="0"/>
        <w:autoSpaceDN w:val="0"/>
        <w:adjustRightInd w:val="0"/>
        <w:spacing w:after="0" w:line="220" w:lineRule="atLeast"/>
        <w:jc w:val="center"/>
        <w:rPr>
          <w:rFonts w:ascii="Arial" w:eastAsia="MS Mincho" w:hAnsi="Arial" w:cs="Arial"/>
          <w:b/>
        </w:rPr>
      </w:pPr>
      <w:r w:rsidRPr="008326BC">
        <w:rPr>
          <w:rFonts w:ascii="Arial" w:eastAsia="MS Mincho" w:hAnsi="Arial" w:cs="Arial"/>
          <w:b/>
        </w:rPr>
        <w:t>Résolution CDNI-2020-I-</w:t>
      </w:r>
      <w:r w:rsidR="00331B0F">
        <w:rPr>
          <w:rFonts w:ascii="Arial" w:eastAsia="MS Mincho" w:hAnsi="Arial" w:cs="Arial"/>
          <w:b/>
        </w:rPr>
        <w:t>2</w:t>
      </w:r>
    </w:p>
    <w:p w14:paraId="58D6F8ED" w14:textId="77777777" w:rsidR="001872BB" w:rsidRPr="008326BC" w:rsidRDefault="001872BB" w:rsidP="001872BB">
      <w:pPr>
        <w:autoSpaceDE w:val="0"/>
        <w:autoSpaceDN w:val="0"/>
        <w:adjustRightInd w:val="0"/>
        <w:spacing w:after="0" w:line="220" w:lineRule="atLeast"/>
        <w:jc w:val="center"/>
        <w:rPr>
          <w:rFonts w:ascii="Arial" w:eastAsia="MS Mincho" w:hAnsi="Arial" w:cs="Arial"/>
          <w:b/>
        </w:rPr>
      </w:pPr>
    </w:p>
    <w:p w14:paraId="4A187077" w14:textId="77777777" w:rsidR="001872BB" w:rsidRPr="008326BC" w:rsidRDefault="001872BB" w:rsidP="001872BB">
      <w:pPr>
        <w:autoSpaceDE w:val="0"/>
        <w:autoSpaceDN w:val="0"/>
        <w:adjustRightInd w:val="0"/>
        <w:spacing w:after="0" w:line="220" w:lineRule="atLeast"/>
        <w:jc w:val="center"/>
        <w:rPr>
          <w:rFonts w:ascii="Arial" w:eastAsia="MS Mincho" w:hAnsi="Arial" w:cs="Arial"/>
          <w:b/>
        </w:rPr>
      </w:pPr>
      <w:r w:rsidRPr="008326BC">
        <w:rPr>
          <w:rFonts w:ascii="Arial" w:eastAsia="MS Mincho" w:hAnsi="Arial" w:cs="Arial"/>
          <w:b/>
        </w:rPr>
        <w:t>Partie A</w:t>
      </w:r>
    </w:p>
    <w:p w14:paraId="269F734D" w14:textId="77777777" w:rsidR="001872BB" w:rsidRPr="008326BC" w:rsidRDefault="001872BB" w:rsidP="001872BB">
      <w:pPr>
        <w:autoSpaceDE w:val="0"/>
        <w:autoSpaceDN w:val="0"/>
        <w:adjustRightInd w:val="0"/>
        <w:spacing w:after="0" w:line="220" w:lineRule="atLeast"/>
        <w:jc w:val="center"/>
        <w:rPr>
          <w:rFonts w:ascii="Arial" w:eastAsia="MS Mincho" w:hAnsi="Arial" w:cs="Arial"/>
          <w:b/>
        </w:rPr>
      </w:pPr>
      <w:r w:rsidRPr="008326BC">
        <w:rPr>
          <w:rFonts w:ascii="Arial" w:eastAsia="MS Mincho" w:hAnsi="Arial" w:cs="Arial"/>
          <w:b/>
        </w:rPr>
        <w:t>Augmentation de la rétribution d’élimination à 8,50 euros à compter du 1</w:t>
      </w:r>
      <w:r w:rsidRPr="008326BC">
        <w:rPr>
          <w:rFonts w:ascii="Arial" w:eastAsia="MS Mincho" w:hAnsi="Arial" w:cs="Arial"/>
          <w:b/>
          <w:vertAlign w:val="superscript"/>
        </w:rPr>
        <w:t>er</w:t>
      </w:r>
      <w:r w:rsidRPr="008326BC">
        <w:rPr>
          <w:rFonts w:ascii="Arial" w:eastAsia="MS Mincho" w:hAnsi="Arial" w:cs="Arial"/>
          <w:b/>
        </w:rPr>
        <w:t xml:space="preserve"> janvier 2021</w:t>
      </w:r>
    </w:p>
    <w:p w14:paraId="4E17244B" w14:textId="77777777" w:rsidR="001872BB" w:rsidRPr="008326BC" w:rsidRDefault="001872BB" w:rsidP="001872BB">
      <w:pPr>
        <w:autoSpaceDE w:val="0"/>
        <w:autoSpaceDN w:val="0"/>
        <w:adjustRightInd w:val="0"/>
        <w:spacing w:after="0" w:line="220" w:lineRule="atLeast"/>
        <w:jc w:val="center"/>
        <w:rPr>
          <w:rFonts w:ascii="Arial" w:eastAsia="MS Mincho" w:hAnsi="Arial" w:cs="Arial"/>
          <w:b/>
        </w:rPr>
      </w:pPr>
      <w:r w:rsidRPr="008326BC">
        <w:rPr>
          <w:rFonts w:ascii="Arial" w:eastAsia="MS Mincho" w:hAnsi="Arial" w:cs="Arial"/>
          <w:b/>
        </w:rPr>
        <w:t>Amendement de l’article 3.03 du Règlement d’application</w:t>
      </w:r>
    </w:p>
    <w:p w14:paraId="68D82A7C" w14:textId="31BF7E0A" w:rsidR="001872BB" w:rsidRPr="008326BC" w:rsidRDefault="00952DC4" w:rsidP="001872BB">
      <w:pPr>
        <w:pStyle w:val="T1OJTechncotedoc"/>
        <w:ind w:left="0"/>
        <w:jc w:val="center"/>
        <w:rPr>
          <w:rFonts w:cs="Arial"/>
          <w:b/>
          <w:sz w:val="22"/>
          <w:szCs w:val="22"/>
        </w:rPr>
      </w:pPr>
      <w:r>
        <w:rPr>
          <w:rFonts w:eastAsia="MS Mincho" w:cs="Arial"/>
          <w:b/>
          <w:sz w:val="22"/>
          <w:szCs w:val="22"/>
        </w:rPr>
        <w:t>R</w:t>
      </w:r>
      <w:r w:rsidR="001872BB" w:rsidRPr="008326BC">
        <w:rPr>
          <w:rFonts w:eastAsia="MS Mincho" w:cs="Arial"/>
          <w:b/>
          <w:sz w:val="22"/>
          <w:szCs w:val="22"/>
        </w:rPr>
        <w:t>ésolution</w:t>
      </w:r>
    </w:p>
    <w:p w14:paraId="47E2BDB3" w14:textId="77777777" w:rsidR="001872BB" w:rsidRPr="008326BC" w:rsidRDefault="001872BB" w:rsidP="001872BB">
      <w:pPr>
        <w:pStyle w:val="T1OJTechncotedoc"/>
        <w:ind w:left="0"/>
        <w:jc w:val="center"/>
        <w:rPr>
          <w:rFonts w:cs="Arial"/>
          <w:szCs w:val="20"/>
        </w:rPr>
      </w:pPr>
    </w:p>
    <w:p w14:paraId="60945005" w14:textId="77777777" w:rsidR="001872BB" w:rsidRPr="008326BC" w:rsidRDefault="001872BB" w:rsidP="001872BB">
      <w:pPr>
        <w:pStyle w:val="T1OJTechncotedoc"/>
        <w:ind w:left="0"/>
        <w:jc w:val="left"/>
        <w:rPr>
          <w:rFonts w:cs="Arial"/>
          <w:szCs w:val="20"/>
        </w:rPr>
      </w:pPr>
    </w:p>
    <w:p w14:paraId="34CEC169" w14:textId="77777777" w:rsidR="001872BB" w:rsidRPr="008326BC" w:rsidRDefault="001872BB" w:rsidP="001872BB">
      <w:pPr>
        <w:tabs>
          <w:tab w:val="left" w:pos="567"/>
        </w:tabs>
        <w:suppressAutoHyphens/>
        <w:spacing w:after="0" w:line="240" w:lineRule="atLeast"/>
        <w:rPr>
          <w:rFonts w:ascii="Arial" w:hAnsi="Arial" w:cs="Arial"/>
          <w:snapToGrid w:val="0"/>
          <w:sz w:val="20"/>
          <w:szCs w:val="24"/>
        </w:rPr>
      </w:pPr>
      <w:r w:rsidRPr="008326BC">
        <w:rPr>
          <w:rFonts w:ascii="Arial" w:hAnsi="Arial" w:cs="Arial"/>
          <w:snapToGrid w:val="0"/>
          <w:sz w:val="20"/>
          <w:szCs w:val="24"/>
        </w:rPr>
        <w:tab/>
        <w:t>La Conférence des Parties Contractantes,</w:t>
      </w:r>
    </w:p>
    <w:p w14:paraId="7ADE9AB4" w14:textId="77777777" w:rsidR="001872BB" w:rsidRPr="008326BC" w:rsidRDefault="001872BB" w:rsidP="001872BB">
      <w:pPr>
        <w:suppressAutoHyphens/>
        <w:spacing w:after="0" w:line="240" w:lineRule="atLeast"/>
        <w:rPr>
          <w:rFonts w:ascii="Arial" w:hAnsi="Arial" w:cs="Arial"/>
          <w:snapToGrid w:val="0"/>
          <w:sz w:val="20"/>
          <w:szCs w:val="24"/>
        </w:rPr>
      </w:pPr>
    </w:p>
    <w:p w14:paraId="48E1E91F" w14:textId="77777777" w:rsidR="001872BB" w:rsidRPr="008326BC" w:rsidRDefault="001872BB" w:rsidP="001872BB">
      <w:pPr>
        <w:spacing w:after="0" w:line="240" w:lineRule="atLeast"/>
        <w:ind w:firstLine="567"/>
        <w:jc w:val="both"/>
        <w:rPr>
          <w:rFonts w:ascii="Arial" w:hAnsi="Arial" w:cs="Arial"/>
          <w:sz w:val="20"/>
          <w:szCs w:val="24"/>
        </w:rPr>
      </w:pPr>
      <w:proofErr w:type="gramStart"/>
      <w:r w:rsidRPr="008326BC">
        <w:rPr>
          <w:rFonts w:ascii="Arial" w:hAnsi="Arial" w:cs="Arial"/>
          <w:sz w:val="20"/>
          <w:szCs w:val="24"/>
        </w:rPr>
        <w:t>vu</w:t>
      </w:r>
      <w:proofErr w:type="gramEnd"/>
      <w:r w:rsidRPr="008326BC">
        <w:rPr>
          <w:rFonts w:ascii="Arial" w:hAnsi="Arial" w:cs="Arial"/>
          <w:sz w:val="20"/>
          <w:szCs w:val="24"/>
        </w:rPr>
        <w:t xml:space="preserve"> la Convention relative à la collecte, au dépôt et à la réception des déchets survenant en navigation rhénane et intérieure, notamment son article 6 et l'article 3.03 du Règlement d'application de la Convention,</w:t>
      </w:r>
    </w:p>
    <w:p w14:paraId="1DB91C50" w14:textId="77777777" w:rsidR="001872BB" w:rsidRPr="008326BC" w:rsidRDefault="001872BB" w:rsidP="001872BB">
      <w:pPr>
        <w:suppressAutoHyphens/>
        <w:spacing w:after="0" w:line="240" w:lineRule="atLeast"/>
        <w:jc w:val="both"/>
        <w:rPr>
          <w:rFonts w:ascii="Arial" w:hAnsi="Arial" w:cs="Arial"/>
          <w:snapToGrid w:val="0"/>
          <w:sz w:val="20"/>
          <w:szCs w:val="24"/>
        </w:rPr>
      </w:pPr>
    </w:p>
    <w:p w14:paraId="617FD891" w14:textId="77777777" w:rsidR="001872BB" w:rsidRPr="008326BC" w:rsidRDefault="001872BB" w:rsidP="001872BB">
      <w:pPr>
        <w:tabs>
          <w:tab w:val="left" w:pos="567"/>
        </w:tabs>
        <w:suppressAutoHyphens/>
        <w:spacing w:after="0" w:line="240" w:lineRule="atLeast"/>
        <w:jc w:val="both"/>
        <w:rPr>
          <w:rFonts w:ascii="Arial" w:hAnsi="Arial" w:cs="Arial"/>
          <w:snapToGrid w:val="0"/>
          <w:sz w:val="20"/>
          <w:szCs w:val="24"/>
        </w:rPr>
      </w:pPr>
      <w:r w:rsidRPr="008326BC">
        <w:rPr>
          <w:rFonts w:ascii="Arial" w:hAnsi="Arial" w:cs="Arial"/>
          <w:snapToGrid w:val="0"/>
          <w:sz w:val="20"/>
          <w:szCs w:val="24"/>
        </w:rPr>
        <w:tab/>
      </w:r>
      <w:proofErr w:type="gramStart"/>
      <w:r w:rsidRPr="008326BC">
        <w:rPr>
          <w:rFonts w:ascii="Arial" w:hAnsi="Arial" w:cs="Arial"/>
          <w:snapToGrid w:val="0"/>
          <w:sz w:val="20"/>
          <w:szCs w:val="24"/>
        </w:rPr>
        <w:t>vu</w:t>
      </w:r>
      <w:proofErr w:type="gramEnd"/>
      <w:r w:rsidRPr="008326BC">
        <w:rPr>
          <w:rFonts w:ascii="Arial" w:hAnsi="Arial" w:cs="Arial"/>
          <w:snapToGrid w:val="0"/>
          <w:sz w:val="20"/>
          <w:szCs w:val="24"/>
        </w:rPr>
        <w:t xml:space="preserve"> la proposition de l'IIPC du 14 novembre 2019, soumise conformément à l'article 4.01 paragraphe 1 du Règlement d'application de la Convention susmentionnée,</w:t>
      </w:r>
    </w:p>
    <w:p w14:paraId="00A412AA" w14:textId="77777777" w:rsidR="001872BB" w:rsidRPr="008326BC" w:rsidRDefault="001872BB" w:rsidP="001872BB">
      <w:pPr>
        <w:suppressAutoHyphens/>
        <w:spacing w:after="0" w:line="240" w:lineRule="atLeast"/>
        <w:jc w:val="both"/>
        <w:rPr>
          <w:rFonts w:ascii="Arial" w:hAnsi="Arial" w:cs="Arial"/>
          <w:snapToGrid w:val="0"/>
          <w:sz w:val="20"/>
          <w:szCs w:val="24"/>
        </w:rPr>
      </w:pPr>
    </w:p>
    <w:p w14:paraId="316CAB05" w14:textId="77777777" w:rsidR="001872BB" w:rsidRPr="008326BC" w:rsidRDefault="001872BB" w:rsidP="001872BB">
      <w:pPr>
        <w:suppressAutoHyphens/>
        <w:spacing w:after="0" w:line="240" w:lineRule="atLeast"/>
        <w:ind w:firstLine="567"/>
        <w:jc w:val="both"/>
        <w:rPr>
          <w:rFonts w:ascii="Arial" w:hAnsi="Arial" w:cs="Arial"/>
          <w:snapToGrid w:val="0"/>
          <w:sz w:val="20"/>
          <w:szCs w:val="24"/>
        </w:rPr>
      </w:pPr>
      <w:proofErr w:type="gramStart"/>
      <w:r w:rsidRPr="008326BC">
        <w:rPr>
          <w:rFonts w:ascii="Arial" w:hAnsi="Arial" w:cs="Arial"/>
          <w:snapToGrid w:val="0"/>
          <w:sz w:val="20"/>
          <w:szCs w:val="24"/>
        </w:rPr>
        <w:t>vu</w:t>
      </w:r>
      <w:proofErr w:type="gramEnd"/>
      <w:r w:rsidRPr="008326BC">
        <w:rPr>
          <w:rFonts w:ascii="Arial" w:hAnsi="Arial" w:cs="Arial"/>
          <w:snapToGrid w:val="0"/>
          <w:sz w:val="20"/>
          <w:szCs w:val="24"/>
        </w:rPr>
        <w:t xml:space="preserve"> le rapport de l'IIPC du 20 novembre 2019 relatif à la gestion du système de financement conformément à l'article 6 de la CDNI, </w:t>
      </w:r>
    </w:p>
    <w:p w14:paraId="30E9BF8D" w14:textId="77777777" w:rsidR="001872BB" w:rsidRPr="008326BC" w:rsidRDefault="001872BB" w:rsidP="001872BB">
      <w:pPr>
        <w:tabs>
          <w:tab w:val="left" w:pos="567"/>
        </w:tabs>
        <w:suppressAutoHyphens/>
        <w:spacing w:after="0" w:line="240" w:lineRule="atLeast"/>
        <w:jc w:val="both"/>
        <w:rPr>
          <w:rFonts w:ascii="Arial" w:hAnsi="Arial" w:cs="Arial"/>
          <w:snapToGrid w:val="0"/>
          <w:sz w:val="20"/>
          <w:szCs w:val="24"/>
        </w:rPr>
      </w:pPr>
    </w:p>
    <w:p w14:paraId="1266564F" w14:textId="5EF46999" w:rsidR="001872BB" w:rsidRPr="008326BC" w:rsidRDefault="001872BB" w:rsidP="001872BB">
      <w:pPr>
        <w:suppressAutoHyphens/>
        <w:spacing w:after="0" w:line="240" w:lineRule="atLeast"/>
        <w:ind w:firstLine="567"/>
        <w:jc w:val="both"/>
        <w:rPr>
          <w:rFonts w:ascii="Arial" w:hAnsi="Arial" w:cs="Arial"/>
          <w:snapToGrid w:val="0"/>
          <w:sz w:val="20"/>
          <w:szCs w:val="24"/>
        </w:rPr>
      </w:pPr>
      <w:proofErr w:type="gramStart"/>
      <w:r w:rsidRPr="008326BC">
        <w:rPr>
          <w:rFonts w:ascii="Arial" w:hAnsi="Arial" w:cs="Arial"/>
          <w:snapToGrid w:val="0"/>
          <w:sz w:val="20"/>
          <w:szCs w:val="24"/>
        </w:rPr>
        <w:t>ayant</w:t>
      </w:r>
      <w:proofErr w:type="gramEnd"/>
      <w:r w:rsidRPr="008326BC">
        <w:rPr>
          <w:rFonts w:ascii="Arial" w:hAnsi="Arial" w:cs="Arial"/>
          <w:snapToGrid w:val="0"/>
          <w:sz w:val="20"/>
          <w:szCs w:val="24"/>
        </w:rPr>
        <w:t xml:space="preserve"> pris acte du fait que les coûts de la collecte et de l'élimination des déchets huileux et graisseux liés à l'exploitation des bateaux ne sont plus couverts par les recettes de la rétribution d'élimination</w:t>
      </w:r>
      <w:r w:rsidR="00A721FD">
        <w:rPr>
          <w:rFonts w:ascii="Arial" w:hAnsi="Arial" w:cs="Arial"/>
          <w:snapToGrid w:val="0"/>
          <w:sz w:val="20"/>
          <w:szCs w:val="24"/>
        </w:rPr>
        <w:t xml:space="preserve"> et ceci depuis 2018</w:t>
      </w:r>
      <w:r w:rsidRPr="008326BC">
        <w:rPr>
          <w:rFonts w:ascii="Arial" w:hAnsi="Arial" w:cs="Arial"/>
          <w:snapToGrid w:val="0"/>
          <w:sz w:val="20"/>
          <w:szCs w:val="24"/>
        </w:rPr>
        <w:t>,</w:t>
      </w:r>
    </w:p>
    <w:p w14:paraId="7B09DADE" w14:textId="77777777" w:rsidR="001872BB" w:rsidRPr="008326BC" w:rsidRDefault="001872BB" w:rsidP="001872BB">
      <w:pPr>
        <w:suppressAutoHyphens/>
        <w:spacing w:after="0" w:line="240" w:lineRule="atLeast"/>
        <w:ind w:firstLine="708"/>
        <w:jc w:val="both"/>
        <w:rPr>
          <w:rFonts w:ascii="Arial" w:hAnsi="Arial" w:cs="Arial"/>
          <w:snapToGrid w:val="0"/>
          <w:sz w:val="20"/>
          <w:szCs w:val="24"/>
        </w:rPr>
      </w:pPr>
    </w:p>
    <w:p w14:paraId="441E67C1" w14:textId="77777777" w:rsidR="001872BB" w:rsidRPr="008326BC" w:rsidRDefault="001872BB" w:rsidP="001872BB">
      <w:pPr>
        <w:suppressAutoHyphens/>
        <w:spacing w:after="0" w:line="240" w:lineRule="atLeast"/>
        <w:ind w:firstLine="567"/>
        <w:jc w:val="both"/>
        <w:rPr>
          <w:rFonts w:ascii="Arial" w:hAnsi="Arial" w:cs="Arial"/>
          <w:snapToGrid w:val="0"/>
          <w:sz w:val="20"/>
          <w:szCs w:val="24"/>
        </w:rPr>
      </w:pPr>
      <w:proofErr w:type="gramStart"/>
      <w:r w:rsidRPr="008326BC">
        <w:rPr>
          <w:rFonts w:ascii="Arial" w:hAnsi="Arial" w:cs="Arial"/>
          <w:snapToGrid w:val="0"/>
          <w:sz w:val="20"/>
          <w:szCs w:val="24"/>
        </w:rPr>
        <w:t>ayant</w:t>
      </w:r>
      <w:proofErr w:type="gramEnd"/>
      <w:r w:rsidRPr="008326BC">
        <w:rPr>
          <w:rFonts w:ascii="Arial" w:hAnsi="Arial" w:cs="Arial"/>
          <w:snapToGrid w:val="0"/>
          <w:sz w:val="20"/>
          <w:szCs w:val="24"/>
        </w:rPr>
        <w:t xml:space="preserve"> pris acte du fait que le déficit en résultant ne pourra plus être couvert dans un avenir proche par l'excédent cumulé depuis 2011,</w:t>
      </w:r>
    </w:p>
    <w:p w14:paraId="5D7F24F6" w14:textId="77777777" w:rsidR="001872BB" w:rsidRPr="008326BC" w:rsidRDefault="001872BB" w:rsidP="001872BB">
      <w:pPr>
        <w:suppressAutoHyphens/>
        <w:spacing w:after="0" w:line="240" w:lineRule="atLeast"/>
        <w:ind w:firstLine="708"/>
        <w:jc w:val="both"/>
        <w:rPr>
          <w:rFonts w:ascii="Arial" w:hAnsi="Arial" w:cs="Arial"/>
          <w:snapToGrid w:val="0"/>
          <w:sz w:val="20"/>
          <w:szCs w:val="24"/>
        </w:rPr>
      </w:pPr>
    </w:p>
    <w:p w14:paraId="71B9E700" w14:textId="3A81B209" w:rsidR="001872BB" w:rsidRPr="008326BC" w:rsidRDefault="001872BB" w:rsidP="001872BB">
      <w:pPr>
        <w:tabs>
          <w:tab w:val="left" w:pos="567"/>
        </w:tabs>
        <w:suppressAutoHyphens/>
        <w:spacing w:after="0" w:line="240" w:lineRule="atLeast"/>
        <w:jc w:val="both"/>
        <w:rPr>
          <w:rFonts w:ascii="Arial" w:hAnsi="Arial" w:cs="Arial"/>
          <w:snapToGrid w:val="0"/>
          <w:sz w:val="20"/>
          <w:szCs w:val="24"/>
        </w:rPr>
      </w:pPr>
      <w:r w:rsidRPr="008326BC">
        <w:rPr>
          <w:rFonts w:ascii="Arial" w:hAnsi="Arial" w:cs="Arial"/>
          <w:snapToGrid w:val="0"/>
          <w:sz w:val="20"/>
          <w:szCs w:val="24"/>
        </w:rPr>
        <w:tab/>
      </w:r>
      <w:proofErr w:type="gramStart"/>
      <w:r w:rsidRPr="008326BC">
        <w:rPr>
          <w:rFonts w:ascii="Arial" w:hAnsi="Arial" w:cs="Arial"/>
          <w:snapToGrid w:val="0"/>
          <w:sz w:val="20"/>
          <w:szCs w:val="24"/>
        </w:rPr>
        <w:t>vu</w:t>
      </w:r>
      <w:proofErr w:type="gramEnd"/>
      <w:r w:rsidRPr="008326BC">
        <w:rPr>
          <w:rFonts w:ascii="Arial" w:hAnsi="Arial" w:cs="Arial"/>
          <w:snapToGrid w:val="0"/>
          <w:sz w:val="20"/>
          <w:szCs w:val="24"/>
        </w:rPr>
        <w:t xml:space="preserve"> la Résolution CDNI 2019-II-3, par laquelle elle a </w:t>
      </w:r>
      <w:r w:rsidR="000B516C">
        <w:rPr>
          <w:rFonts w:ascii="Arial" w:hAnsi="Arial" w:cs="Arial"/>
          <w:snapToGrid w:val="0"/>
          <w:sz w:val="20"/>
          <w:szCs w:val="24"/>
        </w:rPr>
        <w:t>exprimé son intention</w:t>
      </w:r>
      <w:r w:rsidR="00A721FD" w:rsidRPr="008326BC">
        <w:rPr>
          <w:rFonts w:ascii="Arial" w:hAnsi="Arial" w:cs="Arial"/>
          <w:snapToGrid w:val="0"/>
          <w:sz w:val="20"/>
          <w:szCs w:val="24"/>
        </w:rPr>
        <w:t xml:space="preserve"> </w:t>
      </w:r>
      <w:r w:rsidRPr="008326BC">
        <w:rPr>
          <w:rFonts w:ascii="Arial" w:hAnsi="Arial" w:cs="Arial"/>
          <w:snapToGrid w:val="0"/>
          <w:sz w:val="20"/>
          <w:szCs w:val="24"/>
        </w:rPr>
        <w:t>de</w:t>
      </w:r>
      <w:r w:rsidR="00A721FD">
        <w:rPr>
          <w:rFonts w:ascii="Arial" w:hAnsi="Arial" w:cs="Arial"/>
          <w:snapToGrid w:val="0"/>
          <w:sz w:val="20"/>
          <w:szCs w:val="24"/>
        </w:rPr>
        <w:t xml:space="preserve"> </w:t>
      </w:r>
      <w:r w:rsidR="000B516C">
        <w:rPr>
          <w:rFonts w:ascii="Arial" w:hAnsi="Arial" w:cs="Arial"/>
          <w:snapToGrid w:val="0"/>
          <w:sz w:val="20"/>
          <w:szCs w:val="24"/>
        </w:rPr>
        <w:t xml:space="preserve">porter </w:t>
      </w:r>
      <w:r w:rsidRPr="008326BC">
        <w:rPr>
          <w:rFonts w:ascii="Arial" w:hAnsi="Arial" w:cs="Arial"/>
          <w:snapToGrid w:val="0"/>
          <w:sz w:val="20"/>
          <w:szCs w:val="24"/>
        </w:rPr>
        <w:t>le montant de la rétribution d’élimination</w:t>
      </w:r>
      <w:r w:rsidR="00A721FD">
        <w:rPr>
          <w:rFonts w:ascii="Arial" w:hAnsi="Arial" w:cs="Arial"/>
          <w:snapToGrid w:val="0"/>
          <w:sz w:val="20"/>
          <w:szCs w:val="24"/>
        </w:rPr>
        <w:t xml:space="preserve"> inchangé depuis 2011 de 7,50 euros</w:t>
      </w:r>
      <w:r w:rsidRPr="008326BC">
        <w:rPr>
          <w:rFonts w:ascii="Arial" w:hAnsi="Arial" w:cs="Arial"/>
          <w:snapToGrid w:val="0"/>
          <w:sz w:val="20"/>
          <w:szCs w:val="24"/>
        </w:rPr>
        <w:t xml:space="preserve"> à 8,50 euros pour 1000 l de gazole détaxé au 1</w:t>
      </w:r>
      <w:r w:rsidRPr="008326BC">
        <w:rPr>
          <w:rFonts w:ascii="Arial" w:hAnsi="Arial" w:cs="Arial"/>
          <w:snapToGrid w:val="0"/>
          <w:sz w:val="20"/>
          <w:szCs w:val="24"/>
          <w:vertAlign w:val="superscript"/>
        </w:rPr>
        <w:t>er</w:t>
      </w:r>
      <w:r w:rsidRPr="008326BC">
        <w:rPr>
          <w:rFonts w:ascii="Arial" w:hAnsi="Arial" w:cs="Arial"/>
          <w:snapToGrid w:val="0"/>
          <w:sz w:val="20"/>
          <w:szCs w:val="24"/>
        </w:rPr>
        <w:t xml:space="preserve"> janvier 2021,</w:t>
      </w:r>
    </w:p>
    <w:p w14:paraId="03DFF1F3" w14:textId="2638E5DB" w:rsidR="001872BB" w:rsidRDefault="001872BB" w:rsidP="001872BB">
      <w:pPr>
        <w:suppressAutoHyphens/>
        <w:spacing w:after="0" w:line="240" w:lineRule="atLeast"/>
        <w:ind w:firstLine="567"/>
        <w:jc w:val="both"/>
        <w:rPr>
          <w:rFonts w:ascii="Arial" w:hAnsi="Arial" w:cs="Arial"/>
          <w:snapToGrid w:val="0"/>
          <w:sz w:val="20"/>
          <w:szCs w:val="24"/>
        </w:rPr>
      </w:pPr>
    </w:p>
    <w:p w14:paraId="1D4E617A" w14:textId="5037205D" w:rsidR="00A721FD" w:rsidRPr="008326BC" w:rsidRDefault="00A721FD" w:rsidP="00A721FD">
      <w:pPr>
        <w:tabs>
          <w:tab w:val="left" w:pos="567"/>
        </w:tabs>
        <w:suppressAutoHyphens/>
        <w:spacing w:after="0" w:line="240" w:lineRule="atLeast"/>
        <w:jc w:val="both"/>
        <w:rPr>
          <w:rFonts w:ascii="Arial" w:hAnsi="Arial" w:cs="Arial"/>
          <w:snapToGrid w:val="0"/>
          <w:sz w:val="20"/>
          <w:szCs w:val="24"/>
        </w:rPr>
      </w:pPr>
      <w:r>
        <w:rPr>
          <w:rFonts w:ascii="Arial" w:hAnsi="Arial" w:cs="Arial"/>
          <w:snapToGrid w:val="0"/>
          <w:sz w:val="20"/>
          <w:szCs w:val="24"/>
        </w:rPr>
        <w:tab/>
      </w:r>
      <w:proofErr w:type="gramStart"/>
      <w:r>
        <w:rPr>
          <w:rFonts w:ascii="Arial" w:hAnsi="Arial" w:cs="Arial"/>
          <w:snapToGrid w:val="0"/>
          <w:sz w:val="20"/>
          <w:szCs w:val="24"/>
        </w:rPr>
        <w:t>décide</w:t>
      </w:r>
      <w:proofErr w:type="gramEnd"/>
      <w:r>
        <w:rPr>
          <w:rFonts w:ascii="Arial" w:hAnsi="Arial" w:cs="Arial"/>
          <w:snapToGrid w:val="0"/>
          <w:sz w:val="20"/>
          <w:szCs w:val="24"/>
        </w:rPr>
        <w:t xml:space="preserve"> de porter le montant de la rétribution d’élimination </w:t>
      </w:r>
      <w:r w:rsidRPr="008326BC">
        <w:rPr>
          <w:rFonts w:ascii="Arial" w:hAnsi="Arial" w:cs="Arial"/>
          <w:snapToGrid w:val="0"/>
          <w:sz w:val="20"/>
          <w:szCs w:val="24"/>
        </w:rPr>
        <w:t>à 8,50 euros pour 1000 l de gazole détaxé au 1</w:t>
      </w:r>
      <w:r w:rsidRPr="008326BC">
        <w:rPr>
          <w:rFonts w:ascii="Arial" w:hAnsi="Arial" w:cs="Arial"/>
          <w:snapToGrid w:val="0"/>
          <w:sz w:val="20"/>
          <w:szCs w:val="24"/>
          <w:vertAlign w:val="superscript"/>
        </w:rPr>
        <w:t>er</w:t>
      </w:r>
      <w:r w:rsidRPr="008326BC">
        <w:rPr>
          <w:rFonts w:ascii="Arial" w:hAnsi="Arial" w:cs="Arial"/>
          <w:snapToGrid w:val="0"/>
          <w:sz w:val="20"/>
          <w:szCs w:val="24"/>
        </w:rPr>
        <w:t xml:space="preserve"> janvier 2021,</w:t>
      </w:r>
    </w:p>
    <w:p w14:paraId="47626E93" w14:textId="77777777" w:rsidR="00A721FD" w:rsidRPr="008326BC" w:rsidRDefault="00A721FD" w:rsidP="001872BB">
      <w:pPr>
        <w:suppressAutoHyphens/>
        <w:spacing w:after="0" w:line="240" w:lineRule="atLeast"/>
        <w:ind w:firstLine="567"/>
        <w:jc w:val="both"/>
        <w:rPr>
          <w:rFonts w:ascii="Arial" w:hAnsi="Arial" w:cs="Arial"/>
          <w:snapToGrid w:val="0"/>
          <w:sz w:val="20"/>
          <w:szCs w:val="24"/>
        </w:rPr>
      </w:pPr>
    </w:p>
    <w:p w14:paraId="4151B000" w14:textId="6DB0153E" w:rsidR="001872BB" w:rsidRPr="008326BC" w:rsidRDefault="001872BB" w:rsidP="001872BB">
      <w:pPr>
        <w:suppressAutoHyphens/>
        <w:spacing w:after="0" w:line="240" w:lineRule="atLeast"/>
        <w:ind w:firstLine="567"/>
        <w:jc w:val="both"/>
        <w:rPr>
          <w:rFonts w:ascii="Arial" w:hAnsi="Arial" w:cs="Arial"/>
          <w:snapToGrid w:val="0"/>
          <w:sz w:val="20"/>
          <w:szCs w:val="24"/>
        </w:rPr>
      </w:pPr>
      <w:proofErr w:type="gramStart"/>
      <w:r w:rsidRPr="008326BC">
        <w:rPr>
          <w:rFonts w:ascii="Arial" w:hAnsi="Arial" w:cs="Arial"/>
          <w:snapToGrid w:val="0"/>
          <w:sz w:val="20"/>
          <w:szCs w:val="24"/>
        </w:rPr>
        <w:t>décide</w:t>
      </w:r>
      <w:proofErr w:type="gramEnd"/>
      <w:r w:rsidRPr="008326BC">
        <w:rPr>
          <w:rFonts w:ascii="Arial" w:hAnsi="Arial" w:cs="Arial"/>
          <w:snapToGrid w:val="0"/>
          <w:sz w:val="20"/>
          <w:szCs w:val="24"/>
        </w:rPr>
        <w:t xml:space="preserve"> d’amender l’article 3.03 du Règlement d’application en conséquen</w:t>
      </w:r>
      <w:r w:rsidR="00A13DA4">
        <w:rPr>
          <w:rFonts w:ascii="Arial" w:hAnsi="Arial" w:cs="Arial"/>
          <w:snapToGrid w:val="0"/>
          <w:sz w:val="20"/>
          <w:szCs w:val="24"/>
        </w:rPr>
        <w:t>ce</w:t>
      </w:r>
      <w:r w:rsidRPr="008326BC">
        <w:rPr>
          <w:rFonts w:ascii="Arial" w:hAnsi="Arial" w:cs="Arial"/>
          <w:snapToGrid w:val="0"/>
          <w:sz w:val="20"/>
          <w:szCs w:val="24"/>
        </w:rPr>
        <w:t>,</w:t>
      </w:r>
    </w:p>
    <w:p w14:paraId="75D9B6BB" w14:textId="77777777" w:rsidR="001872BB" w:rsidRPr="008326BC" w:rsidRDefault="001872BB" w:rsidP="001872BB">
      <w:pPr>
        <w:suppressAutoHyphens/>
        <w:spacing w:after="0" w:line="240" w:lineRule="atLeast"/>
        <w:ind w:firstLine="567"/>
        <w:jc w:val="both"/>
        <w:rPr>
          <w:rFonts w:ascii="Arial" w:hAnsi="Arial" w:cs="Arial"/>
          <w:snapToGrid w:val="0"/>
          <w:sz w:val="20"/>
          <w:szCs w:val="24"/>
        </w:rPr>
      </w:pPr>
    </w:p>
    <w:p w14:paraId="3C440FC2" w14:textId="77777777" w:rsidR="001872BB" w:rsidRPr="008326BC" w:rsidRDefault="001872BB" w:rsidP="001872BB">
      <w:pPr>
        <w:suppressAutoHyphens/>
        <w:spacing w:after="0" w:line="240" w:lineRule="atLeast"/>
        <w:ind w:firstLine="567"/>
        <w:jc w:val="both"/>
        <w:rPr>
          <w:rFonts w:ascii="Arial" w:hAnsi="Arial" w:cs="Arial"/>
          <w:snapToGrid w:val="0"/>
          <w:sz w:val="20"/>
          <w:szCs w:val="24"/>
        </w:rPr>
      </w:pPr>
      <w:proofErr w:type="gramStart"/>
      <w:r w:rsidRPr="008326BC">
        <w:rPr>
          <w:rFonts w:ascii="Arial" w:hAnsi="Arial" w:cs="Arial"/>
          <w:snapToGrid w:val="0"/>
          <w:sz w:val="20"/>
          <w:szCs w:val="24"/>
        </w:rPr>
        <w:t>donne</w:t>
      </w:r>
      <w:proofErr w:type="gramEnd"/>
      <w:r w:rsidRPr="008326BC">
        <w:rPr>
          <w:rFonts w:ascii="Arial" w:hAnsi="Arial" w:cs="Arial"/>
          <w:snapToGrid w:val="0"/>
          <w:sz w:val="20"/>
          <w:szCs w:val="24"/>
        </w:rPr>
        <w:t xml:space="preserve"> mandat au Secrétariat d’effectuer les démarches nécessaires pour procéder à l’adaptation technique du système de paiement électronique de la CDNI (SPE-CDNI) pour rendre opérationnelle l’augmentation de la rétribution d’élimination au 1</w:t>
      </w:r>
      <w:r w:rsidRPr="008326BC">
        <w:rPr>
          <w:rFonts w:ascii="Arial" w:hAnsi="Arial" w:cs="Arial"/>
          <w:snapToGrid w:val="0"/>
          <w:sz w:val="20"/>
          <w:szCs w:val="24"/>
          <w:vertAlign w:val="superscript"/>
        </w:rPr>
        <w:t>er</w:t>
      </w:r>
      <w:r w:rsidRPr="008326BC">
        <w:rPr>
          <w:rFonts w:ascii="Arial" w:hAnsi="Arial" w:cs="Arial"/>
          <w:snapToGrid w:val="0"/>
          <w:sz w:val="20"/>
          <w:szCs w:val="24"/>
        </w:rPr>
        <w:t xml:space="preserve"> janvier 2021.</w:t>
      </w:r>
    </w:p>
    <w:p w14:paraId="1A1D47A4" w14:textId="77777777" w:rsidR="001872BB" w:rsidRPr="008326BC" w:rsidRDefault="001872BB" w:rsidP="001872BB">
      <w:pPr>
        <w:suppressAutoHyphens/>
        <w:spacing w:after="0" w:line="240" w:lineRule="atLeast"/>
        <w:ind w:firstLine="567"/>
        <w:jc w:val="both"/>
        <w:rPr>
          <w:rFonts w:ascii="Arial" w:hAnsi="Arial" w:cs="Arial"/>
          <w:snapToGrid w:val="0"/>
          <w:sz w:val="20"/>
          <w:szCs w:val="24"/>
        </w:rPr>
      </w:pPr>
    </w:p>
    <w:p w14:paraId="705220F6" w14:textId="77777777" w:rsidR="001872BB" w:rsidRPr="008326BC" w:rsidRDefault="001872BB" w:rsidP="001872BB">
      <w:pPr>
        <w:suppressAutoHyphens/>
        <w:spacing w:after="0" w:line="240" w:lineRule="atLeast"/>
        <w:ind w:firstLine="567"/>
        <w:jc w:val="both"/>
        <w:rPr>
          <w:rFonts w:ascii="Arial" w:hAnsi="Arial" w:cs="Arial"/>
          <w:snapToGrid w:val="0"/>
          <w:sz w:val="20"/>
          <w:szCs w:val="24"/>
        </w:rPr>
      </w:pPr>
      <w:r w:rsidRPr="008326BC">
        <w:rPr>
          <w:rFonts w:ascii="Arial" w:hAnsi="Arial" w:cs="Arial"/>
          <w:snapToGrid w:val="0"/>
          <w:sz w:val="20"/>
          <w:szCs w:val="24"/>
        </w:rPr>
        <w:t>L’amendement en annexe entre en vigueur le 1</w:t>
      </w:r>
      <w:r w:rsidRPr="008326BC">
        <w:rPr>
          <w:rFonts w:ascii="Arial" w:hAnsi="Arial" w:cs="Arial"/>
          <w:snapToGrid w:val="0"/>
          <w:sz w:val="20"/>
          <w:szCs w:val="24"/>
          <w:vertAlign w:val="superscript"/>
        </w:rPr>
        <w:t>er</w:t>
      </w:r>
      <w:r w:rsidRPr="008326BC">
        <w:rPr>
          <w:rFonts w:ascii="Arial" w:hAnsi="Arial" w:cs="Arial"/>
          <w:snapToGrid w:val="0"/>
          <w:sz w:val="20"/>
          <w:szCs w:val="24"/>
        </w:rPr>
        <w:t xml:space="preserve"> janvier 2021.</w:t>
      </w:r>
    </w:p>
    <w:p w14:paraId="19C77B06" w14:textId="77777777" w:rsidR="001872BB" w:rsidRPr="008326BC" w:rsidRDefault="001872BB" w:rsidP="001872BB">
      <w:pPr>
        <w:spacing w:after="0" w:line="240" w:lineRule="atLeast"/>
        <w:rPr>
          <w:rFonts w:ascii="Arial" w:hAnsi="Arial" w:cs="Arial"/>
          <w:sz w:val="20"/>
          <w:szCs w:val="24"/>
        </w:rPr>
      </w:pPr>
    </w:p>
    <w:p w14:paraId="14C76030" w14:textId="77777777" w:rsidR="001872BB" w:rsidRPr="008326BC" w:rsidRDefault="001872BB" w:rsidP="001872BB">
      <w:pPr>
        <w:spacing w:after="0" w:line="240" w:lineRule="atLeast"/>
        <w:rPr>
          <w:rFonts w:ascii="Arial" w:hAnsi="Arial" w:cs="Arial"/>
          <w:sz w:val="20"/>
          <w:szCs w:val="24"/>
        </w:rPr>
      </w:pPr>
    </w:p>
    <w:p w14:paraId="3FC1BE18" w14:textId="77777777" w:rsidR="001872BB" w:rsidRPr="008326BC" w:rsidRDefault="001872BB" w:rsidP="001872BB">
      <w:pPr>
        <w:tabs>
          <w:tab w:val="left" w:pos="993"/>
          <w:tab w:val="center" w:pos="4536"/>
          <w:tab w:val="right" w:pos="9072"/>
        </w:tabs>
        <w:autoSpaceDE w:val="0"/>
        <w:autoSpaceDN w:val="0"/>
        <w:adjustRightInd w:val="0"/>
        <w:spacing w:after="0" w:line="240" w:lineRule="atLeast"/>
        <w:ind w:left="990" w:hanging="990"/>
        <w:jc w:val="both"/>
        <w:rPr>
          <w:rFonts w:ascii="Arial" w:hAnsi="Arial" w:cs="Arial"/>
          <w:sz w:val="20"/>
          <w:szCs w:val="20"/>
        </w:rPr>
      </w:pPr>
      <w:r w:rsidRPr="008326BC">
        <w:rPr>
          <w:rFonts w:ascii="Arial" w:hAnsi="Arial" w:cs="Arial"/>
          <w:sz w:val="20"/>
          <w:szCs w:val="20"/>
        </w:rPr>
        <w:t>Annexe :</w:t>
      </w:r>
      <w:r w:rsidRPr="008326BC">
        <w:rPr>
          <w:rFonts w:ascii="Arial" w:hAnsi="Arial" w:cs="Arial"/>
          <w:sz w:val="20"/>
          <w:szCs w:val="20"/>
        </w:rPr>
        <w:tab/>
        <w:t>Amendement de l’article 3.03 du Règlement d’application</w:t>
      </w:r>
    </w:p>
    <w:p w14:paraId="06A68274" w14:textId="77777777" w:rsidR="001872BB" w:rsidRPr="008326BC" w:rsidRDefault="001872BB" w:rsidP="001872BB">
      <w:pPr>
        <w:rPr>
          <w:rFonts w:cs="Arial"/>
          <w:szCs w:val="20"/>
        </w:rPr>
      </w:pPr>
      <w:r w:rsidRPr="008326BC">
        <w:rPr>
          <w:rFonts w:cs="Arial"/>
          <w:szCs w:val="20"/>
        </w:rPr>
        <w:br w:type="page"/>
      </w:r>
    </w:p>
    <w:p w14:paraId="3CE7468D" w14:textId="5E221648" w:rsidR="001872BB" w:rsidRPr="008326BC" w:rsidRDefault="001872BB" w:rsidP="001872BB">
      <w:pPr>
        <w:pStyle w:val="T1OJTechncotedoc"/>
        <w:ind w:left="0"/>
        <w:jc w:val="right"/>
        <w:rPr>
          <w:rFonts w:cs="Arial"/>
          <w:b/>
          <w:bCs/>
          <w:szCs w:val="20"/>
        </w:rPr>
      </w:pPr>
      <w:r w:rsidRPr="008326BC">
        <w:rPr>
          <w:rFonts w:cs="Arial"/>
          <w:b/>
          <w:bCs/>
          <w:szCs w:val="20"/>
        </w:rPr>
        <w:lastRenderedPageBreak/>
        <w:t>Annexe à la résolution CDNI 2020-I-</w:t>
      </w:r>
      <w:r w:rsidR="00331B0F">
        <w:rPr>
          <w:rFonts w:cs="Arial"/>
          <w:b/>
          <w:bCs/>
          <w:szCs w:val="20"/>
        </w:rPr>
        <w:t>2</w:t>
      </w:r>
    </w:p>
    <w:p w14:paraId="0F8A61B9" w14:textId="77777777" w:rsidR="001872BB" w:rsidRPr="008326BC" w:rsidRDefault="001872BB" w:rsidP="001872BB">
      <w:pPr>
        <w:autoSpaceDE w:val="0"/>
        <w:autoSpaceDN w:val="0"/>
        <w:adjustRightInd w:val="0"/>
        <w:spacing w:after="0" w:line="220" w:lineRule="atLeast"/>
        <w:jc w:val="center"/>
        <w:rPr>
          <w:rFonts w:ascii="Arial" w:eastAsia="MS Mincho" w:hAnsi="Arial" w:cs="Arial"/>
          <w:b/>
        </w:rPr>
      </w:pPr>
    </w:p>
    <w:p w14:paraId="4AD3A928" w14:textId="77777777" w:rsidR="001872BB" w:rsidRPr="008326BC" w:rsidRDefault="001872BB" w:rsidP="001872BB">
      <w:pPr>
        <w:autoSpaceDE w:val="0"/>
        <w:autoSpaceDN w:val="0"/>
        <w:adjustRightInd w:val="0"/>
        <w:spacing w:after="0" w:line="220" w:lineRule="atLeast"/>
        <w:jc w:val="center"/>
        <w:rPr>
          <w:rFonts w:ascii="Arial" w:eastAsia="MS Mincho" w:hAnsi="Arial" w:cs="Arial"/>
          <w:b/>
        </w:rPr>
      </w:pPr>
      <w:r w:rsidRPr="008326BC">
        <w:rPr>
          <w:rFonts w:ascii="Arial" w:eastAsia="MS Mincho" w:hAnsi="Arial" w:cs="Arial"/>
          <w:b/>
        </w:rPr>
        <w:t>Augmentation de la rétribution d’élimination à 8,50 euros à compter du 1</w:t>
      </w:r>
      <w:r w:rsidRPr="008326BC">
        <w:rPr>
          <w:rFonts w:ascii="Arial" w:eastAsia="MS Mincho" w:hAnsi="Arial" w:cs="Arial"/>
          <w:b/>
          <w:vertAlign w:val="superscript"/>
        </w:rPr>
        <w:t>er</w:t>
      </w:r>
      <w:r w:rsidRPr="008326BC">
        <w:rPr>
          <w:rFonts w:ascii="Arial" w:eastAsia="MS Mincho" w:hAnsi="Arial" w:cs="Arial"/>
          <w:b/>
        </w:rPr>
        <w:t xml:space="preserve"> janvier 2021</w:t>
      </w:r>
    </w:p>
    <w:p w14:paraId="350D5127" w14:textId="77777777" w:rsidR="001872BB" w:rsidRPr="008326BC" w:rsidRDefault="001872BB" w:rsidP="001872BB">
      <w:pPr>
        <w:autoSpaceDE w:val="0"/>
        <w:autoSpaceDN w:val="0"/>
        <w:adjustRightInd w:val="0"/>
        <w:spacing w:after="0" w:line="220" w:lineRule="atLeast"/>
        <w:jc w:val="center"/>
        <w:rPr>
          <w:rFonts w:ascii="Arial" w:eastAsia="MS Mincho" w:hAnsi="Arial" w:cs="Arial"/>
          <w:b/>
        </w:rPr>
      </w:pPr>
      <w:r w:rsidRPr="008326BC">
        <w:rPr>
          <w:rFonts w:ascii="Arial" w:eastAsia="MS Mincho" w:hAnsi="Arial" w:cs="Arial"/>
          <w:b/>
        </w:rPr>
        <w:t>Amendement de l’article 3.03 du Règlement d’application</w:t>
      </w:r>
    </w:p>
    <w:p w14:paraId="5AEF150A" w14:textId="77777777" w:rsidR="001872BB" w:rsidRPr="008326BC" w:rsidRDefault="001872BB" w:rsidP="001872BB">
      <w:pPr>
        <w:pStyle w:val="T1OJTechncotedoc"/>
        <w:tabs>
          <w:tab w:val="clear" w:pos="567"/>
        </w:tabs>
        <w:ind w:left="0"/>
        <w:rPr>
          <w:rFonts w:cs="Arial"/>
          <w:i/>
          <w:iCs/>
          <w:szCs w:val="20"/>
        </w:rPr>
      </w:pPr>
    </w:p>
    <w:p w14:paraId="2107129A" w14:textId="77777777" w:rsidR="001872BB" w:rsidRPr="008326BC" w:rsidRDefault="001872BB" w:rsidP="001872BB">
      <w:pPr>
        <w:pStyle w:val="T1OJTechncotedoc"/>
        <w:tabs>
          <w:tab w:val="clear" w:pos="567"/>
        </w:tabs>
        <w:ind w:left="0"/>
        <w:rPr>
          <w:rFonts w:cs="Arial"/>
          <w:i/>
          <w:iCs/>
          <w:szCs w:val="20"/>
        </w:rPr>
      </w:pPr>
    </w:p>
    <w:p w14:paraId="27615BFD" w14:textId="77777777" w:rsidR="001872BB" w:rsidRPr="008326BC" w:rsidRDefault="001872BB" w:rsidP="001872BB">
      <w:pPr>
        <w:pStyle w:val="T1OJTechncotedoc"/>
        <w:tabs>
          <w:tab w:val="clear" w:pos="567"/>
        </w:tabs>
        <w:ind w:left="0"/>
        <w:rPr>
          <w:rFonts w:cs="Arial"/>
          <w:i/>
          <w:iCs/>
          <w:szCs w:val="20"/>
        </w:rPr>
      </w:pPr>
      <w:r w:rsidRPr="008326BC">
        <w:rPr>
          <w:rFonts w:cs="Arial"/>
          <w:i/>
          <w:iCs/>
          <w:szCs w:val="20"/>
        </w:rPr>
        <w:t>L’article 3.03, paragraphe 1 du Règlement d’application est modifié comme suit :</w:t>
      </w:r>
    </w:p>
    <w:p w14:paraId="5D12BBAB" w14:textId="77777777" w:rsidR="001872BB" w:rsidRPr="008326BC" w:rsidRDefault="001872BB" w:rsidP="001872BB">
      <w:pPr>
        <w:pStyle w:val="T1OJTechncotedoc"/>
        <w:ind w:left="0"/>
        <w:rPr>
          <w:rFonts w:cs="Arial"/>
          <w:szCs w:val="20"/>
        </w:rPr>
      </w:pPr>
    </w:p>
    <w:p w14:paraId="32B68941" w14:textId="77777777" w:rsidR="001872BB" w:rsidRPr="008326BC" w:rsidRDefault="001872BB" w:rsidP="001872BB">
      <w:pPr>
        <w:tabs>
          <w:tab w:val="left" w:pos="284"/>
        </w:tabs>
        <w:spacing w:after="0" w:line="240" w:lineRule="atLeast"/>
        <w:ind w:left="851" w:hanging="851"/>
        <w:jc w:val="both"/>
        <w:rPr>
          <w:rFonts w:ascii="Arial" w:hAnsi="Arial" w:cs="Arial"/>
          <w:sz w:val="20"/>
          <w:szCs w:val="20"/>
        </w:rPr>
      </w:pPr>
      <w:r w:rsidRPr="008326BC">
        <w:rPr>
          <w:rFonts w:ascii="Arial" w:hAnsi="Arial" w:cs="Arial"/>
          <w:sz w:val="20"/>
          <w:szCs w:val="20"/>
        </w:rPr>
        <w:t>« (1)</w:t>
      </w:r>
      <w:r w:rsidRPr="008326BC">
        <w:rPr>
          <w:rFonts w:ascii="Arial" w:hAnsi="Arial" w:cs="Arial"/>
          <w:sz w:val="20"/>
          <w:szCs w:val="20"/>
        </w:rPr>
        <w:tab/>
        <w:t xml:space="preserve">La rétribution d'élimination s'élève à 8,50 euros (augmentée de la TVA) pour </w:t>
      </w:r>
      <w:smartTag w:uri="urn:schemas-microsoft-com:office:smarttags" w:element="metricconverter">
        <w:smartTagPr>
          <w:attr w:name="ProductID" w:val="1000 l"/>
        </w:smartTagPr>
        <w:r w:rsidRPr="008326BC">
          <w:rPr>
            <w:rFonts w:ascii="Arial" w:hAnsi="Arial" w:cs="Arial"/>
            <w:sz w:val="20"/>
            <w:szCs w:val="20"/>
          </w:rPr>
          <w:t>1000 l</w:t>
        </w:r>
      </w:smartTag>
      <w:r w:rsidRPr="008326BC">
        <w:rPr>
          <w:rFonts w:ascii="Arial" w:hAnsi="Arial" w:cs="Arial"/>
          <w:sz w:val="20"/>
          <w:szCs w:val="20"/>
        </w:rPr>
        <w:t xml:space="preserve"> de gazole délivré. Le calcul du montant doit être basé sur le volume du gazole correspondant au volume à </w:t>
      </w:r>
      <w:smartTag w:uri="urn:schemas-microsoft-com:office:smarttags" w:element="metricconverter">
        <w:smartTagPr>
          <w:attr w:name="ProductID" w:val="15 °C"/>
        </w:smartTagPr>
        <w:r w:rsidRPr="008326BC">
          <w:rPr>
            <w:rFonts w:ascii="Arial" w:hAnsi="Arial" w:cs="Arial"/>
            <w:sz w:val="20"/>
            <w:szCs w:val="20"/>
          </w:rPr>
          <w:t>15 °C</w:t>
        </w:r>
      </w:smartTag>
      <w:r w:rsidRPr="008326BC">
        <w:rPr>
          <w:rFonts w:ascii="Arial" w:hAnsi="Arial" w:cs="Arial"/>
          <w:sz w:val="20"/>
          <w:szCs w:val="20"/>
        </w:rPr>
        <w:t>. »</w:t>
      </w:r>
    </w:p>
    <w:p w14:paraId="1FBC5F4D" w14:textId="77777777" w:rsidR="001872BB" w:rsidRPr="008326BC" w:rsidRDefault="001872BB" w:rsidP="001872BB">
      <w:pPr>
        <w:pStyle w:val="T1OJTechncotedoc"/>
        <w:ind w:left="0"/>
        <w:rPr>
          <w:rFonts w:cs="Arial"/>
          <w:szCs w:val="20"/>
        </w:rPr>
      </w:pPr>
    </w:p>
    <w:p w14:paraId="18A0DAE7" w14:textId="77777777" w:rsidR="001872BB" w:rsidRPr="008326BC" w:rsidRDefault="001872BB" w:rsidP="001872BB">
      <w:pPr>
        <w:pStyle w:val="T1OJTechncotedoc"/>
        <w:ind w:left="0"/>
        <w:jc w:val="center"/>
        <w:rPr>
          <w:rFonts w:cs="Arial"/>
          <w:szCs w:val="20"/>
        </w:rPr>
      </w:pPr>
      <w:r w:rsidRPr="008326BC">
        <w:rPr>
          <w:rFonts w:cs="Arial"/>
          <w:szCs w:val="20"/>
        </w:rPr>
        <w:t>***</w:t>
      </w:r>
    </w:p>
    <w:p w14:paraId="6DFA7FCB" w14:textId="77777777" w:rsidR="00EA2CF6" w:rsidRPr="008326BC" w:rsidRDefault="00EA2CF6" w:rsidP="001872BB">
      <w:pPr>
        <w:pStyle w:val="T1OJTechncotedoc"/>
        <w:ind w:left="0"/>
        <w:jc w:val="center"/>
        <w:rPr>
          <w:rFonts w:cs="Arial"/>
          <w:szCs w:val="20"/>
        </w:rPr>
      </w:pPr>
    </w:p>
    <w:sectPr w:rsidR="00EA2CF6" w:rsidRPr="008326BC" w:rsidSect="00B11962">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97F7F" w14:textId="77777777" w:rsidR="00862B29" w:rsidRDefault="00862B29" w:rsidP="00B011E0">
      <w:pPr>
        <w:spacing w:after="0" w:line="240" w:lineRule="auto"/>
      </w:pPr>
      <w:r>
        <w:separator/>
      </w:r>
    </w:p>
  </w:endnote>
  <w:endnote w:type="continuationSeparator" w:id="0">
    <w:p w14:paraId="44F02105" w14:textId="77777777" w:rsidR="00862B29" w:rsidRDefault="00862B29" w:rsidP="00B011E0">
      <w:pPr>
        <w:spacing w:after="0" w:line="240" w:lineRule="auto"/>
      </w:pPr>
      <w:r>
        <w:continuationSeparator/>
      </w:r>
    </w:p>
  </w:endnote>
  <w:endnote w:type="continuationNotice" w:id="1">
    <w:p w14:paraId="7A40AD62" w14:textId="77777777" w:rsidR="00862B29" w:rsidRDefault="00862B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2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34EEA" w14:textId="1C97E0C8" w:rsidR="0074447E" w:rsidRPr="008326BC" w:rsidRDefault="0074447E" w:rsidP="001872BB">
    <w:pPr>
      <w:tabs>
        <w:tab w:val="center" w:pos="4536"/>
        <w:tab w:val="right" w:pos="9072"/>
      </w:tabs>
      <w:spacing w:after="0" w:line="240" w:lineRule="auto"/>
      <w:jc w:val="right"/>
      <w:rPr>
        <w:rFonts w:ascii="Arial" w:hAnsi="Arial" w:cs="Arial"/>
        <w:snapToGrid w:val="0"/>
        <w:sz w:val="12"/>
        <w:szCs w:val="24"/>
        <w:lang w:val="en-US"/>
      </w:rPr>
    </w:pPr>
    <w:r w:rsidRPr="008326BC">
      <w:rPr>
        <w:rFonts w:ascii="Arial" w:hAnsi="Arial" w:cs="Arial"/>
        <w:snapToGrid w:val="0"/>
        <w:sz w:val="12"/>
        <w:szCs w:val="24"/>
        <w:lang w:val="en-US"/>
      </w:rPr>
      <w:t>mg</w:t>
    </w:r>
    <w:r w:rsidR="003D72E1" w:rsidRPr="008326BC">
      <w:rPr>
        <w:rFonts w:ascii="Arial" w:hAnsi="Arial" w:cs="Arial"/>
        <w:snapToGrid w:val="0"/>
        <w:sz w:val="12"/>
        <w:szCs w:val="24"/>
        <w:lang w:val="en-US"/>
      </w:rPr>
      <w:t>/cpc</w:t>
    </w:r>
    <w:r w:rsidRPr="008326BC">
      <w:rPr>
        <w:rFonts w:ascii="Arial" w:hAnsi="Arial" w:cs="Arial"/>
        <w:snapToGrid w:val="0"/>
        <w:sz w:val="12"/>
        <w:szCs w:val="24"/>
        <w:lang w:val="en-US"/>
      </w:rPr>
      <w:t>20</w:t>
    </w:r>
    <w:r w:rsidR="003D72E1" w:rsidRPr="008326BC">
      <w:rPr>
        <w:rFonts w:ascii="Arial" w:hAnsi="Arial" w:cs="Arial"/>
        <w:snapToGrid w:val="0"/>
        <w:sz w:val="12"/>
        <w:szCs w:val="24"/>
        <w:lang w:val="en-US"/>
      </w:rPr>
      <w:t>_2</w:t>
    </w:r>
    <w:r w:rsidRPr="008326BC">
      <w:rPr>
        <w:rFonts w:ascii="Arial" w:hAnsi="Arial" w:cs="Arial"/>
        <w:snapToGrid w:val="0"/>
        <w:sz w:val="12"/>
        <w:szCs w:val="24"/>
        <w:lang w:val="en-US"/>
      </w:rPr>
      <w:t>0fr</w:t>
    </w:r>
    <w:r w:rsidR="00E35D84">
      <w:rPr>
        <w:rFonts w:ascii="Arial" w:hAnsi="Arial" w:cs="Arial"/>
        <w:snapToGrid w:val="0"/>
        <w:sz w:val="12"/>
        <w:szCs w:val="24"/>
        <w:lang w:val="en-US"/>
      </w:rPr>
      <w:t>_</w:t>
    </w:r>
    <w:r w:rsidR="000B516C">
      <w:rPr>
        <w:rFonts w:ascii="Arial" w:hAnsi="Arial" w:cs="Arial"/>
        <w:snapToGrid w:val="0"/>
        <w:sz w:val="12"/>
        <w:szCs w:val="24"/>
        <w:lang w:val="en-US"/>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B3A2B" w14:textId="77777777" w:rsidR="00862B29" w:rsidRDefault="00862B29" w:rsidP="00B011E0">
      <w:pPr>
        <w:spacing w:after="0" w:line="240" w:lineRule="auto"/>
      </w:pPr>
      <w:r>
        <w:separator/>
      </w:r>
    </w:p>
  </w:footnote>
  <w:footnote w:type="continuationSeparator" w:id="0">
    <w:p w14:paraId="063EDBD6" w14:textId="77777777" w:rsidR="00862B29" w:rsidRDefault="00862B29" w:rsidP="00B011E0">
      <w:pPr>
        <w:spacing w:after="0" w:line="240" w:lineRule="auto"/>
      </w:pPr>
      <w:r>
        <w:continuationSeparator/>
      </w:r>
    </w:p>
  </w:footnote>
  <w:footnote w:type="continuationNotice" w:id="1">
    <w:p w14:paraId="54719093" w14:textId="77777777" w:rsidR="00862B29" w:rsidRDefault="00862B29">
      <w:pPr>
        <w:spacing w:after="0" w:line="240" w:lineRule="auto"/>
      </w:pPr>
    </w:p>
  </w:footnote>
  <w:footnote w:id="2">
    <w:p w14:paraId="6DAB4DDF" w14:textId="77777777" w:rsidR="001872BB" w:rsidRPr="008326BC" w:rsidRDefault="001872BB" w:rsidP="001872BB">
      <w:pPr>
        <w:pStyle w:val="Notedebasdepage"/>
        <w:rPr>
          <w:rFonts w:ascii="Arial" w:hAnsi="Arial" w:cs="Arial"/>
          <w:sz w:val="16"/>
          <w:szCs w:val="16"/>
        </w:rPr>
      </w:pPr>
      <w:r w:rsidRPr="00A13DA4">
        <w:rPr>
          <w:rStyle w:val="Appelnotedebasdep"/>
          <w:rFonts w:ascii="Arial" w:hAnsi="Arial" w:cs="Arial"/>
          <w:sz w:val="16"/>
          <w:szCs w:val="16"/>
        </w:rPr>
        <w:footnoteRef/>
      </w:r>
      <w:r w:rsidRPr="00A13DA4">
        <w:rPr>
          <w:rFonts w:ascii="Arial" w:hAnsi="Arial" w:cs="Arial"/>
          <w:sz w:val="16"/>
          <w:szCs w:val="16"/>
        </w:rPr>
        <w:t>Voir : New York Times, Les cours du pétrole plongent, l'OPEP et la Russie ne parvenant pas à un accord, 6 mars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BAFA1" w14:textId="77777777" w:rsidR="003D72E1" w:rsidRPr="008326BC" w:rsidRDefault="003D72E1" w:rsidP="001872BB">
    <w:pPr>
      <w:tabs>
        <w:tab w:val="center" w:pos="4536"/>
        <w:tab w:val="right" w:pos="9072"/>
      </w:tabs>
      <w:spacing w:after="0" w:line="240" w:lineRule="auto"/>
      <w:ind w:right="22"/>
      <w:jc w:val="center"/>
      <w:rPr>
        <w:rFonts w:ascii="Arial" w:hAnsi="Arial" w:cs="Arial"/>
        <w:sz w:val="16"/>
        <w:szCs w:val="16"/>
      </w:rPr>
    </w:pPr>
    <w:r w:rsidRPr="008326BC">
      <w:rPr>
        <w:rFonts w:ascii="Arial" w:hAnsi="Arial" w:cs="Arial"/>
        <w:sz w:val="16"/>
        <w:szCs w:val="16"/>
      </w:rPr>
      <w:t xml:space="preserve">- </w:t>
    </w:r>
    <w:r w:rsidRPr="008326BC">
      <w:rPr>
        <w:rFonts w:ascii="Arial" w:hAnsi="Arial" w:cs="Arial"/>
        <w:sz w:val="16"/>
        <w:szCs w:val="16"/>
      </w:rPr>
      <w:fldChar w:fldCharType="begin"/>
    </w:r>
    <w:r w:rsidRPr="008326BC">
      <w:rPr>
        <w:rFonts w:ascii="Arial" w:hAnsi="Arial" w:cs="Arial"/>
        <w:sz w:val="16"/>
        <w:szCs w:val="16"/>
      </w:rPr>
      <w:instrText xml:space="preserve"> PAGE </w:instrText>
    </w:r>
    <w:r w:rsidRPr="008326BC">
      <w:rPr>
        <w:rFonts w:ascii="Arial" w:hAnsi="Arial" w:cs="Arial"/>
        <w:sz w:val="16"/>
        <w:szCs w:val="16"/>
      </w:rPr>
      <w:fldChar w:fldCharType="separate"/>
    </w:r>
    <w:r w:rsidR="008326BC">
      <w:rPr>
        <w:rFonts w:ascii="Arial" w:hAnsi="Arial" w:cs="Arial"/>
        <w:noProof/>
        <w:sz w:val="16"/>
        <w:szCs w:val="16"/>
      </w:rPr>
      <w:t>3</w:t>
    </w:r>
    <w:r w:rsidRPr="008326BC">
      <w:rPr>
        <w:rFonts w:ascii="Arial" w:hAnsi="Arial" w:cs="Arial"/>
        <w:sz w:val="16"/>
        <w:szCs w:val="16"/>
      </w:rPr>
      <w:fldChar w:fldCharType="end"/>
    </w:r>
    <w:r w:rsidRPr="008326BC">
      <w:rPr>
        <w:rFonts w:ascii="Arial" w:hAnsi="Arial" w:cs="Arial"/>
        <w:sz w:val="16"/>
        <w:szCs w:val="16"/>
      </w:rPr>
      <w:t xml:space="preserve"> -</w:t>
    </w:r>
  </w:p>
  <w:p w14:paraId="3CBD80AA" w14:textId="77777777" w:rsidR="003D72E1" w:rsidRPr="008326BC" w:rsidRDefault="003D72E1" w:rsidP="001872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D7A21"/>
    <w:multiLevelType w:val="multilevel"/>
    <w:tmpl w:val="35EE528E"/>
    <w:lvl w:ilvl="0">
      <w:start w:val="1"/>
      <w:numFmt w:val="decimal"/>
      <w:lvlText w:val="%1."/>
      <w:lvlJc w:val="left"/>
      <w:pPr>
        <w:ind w:left="567" w:hanging="567"/>
      </w:pPr>
      <w:rPr>
        <w:rFonts w:hint="default"/>
      </w:rPr>
    </w:lvl>
    <w:lvl w:ilvl="1">
      <w:start w:val="1"/>
      <w:numFmt w:val="decimal"/>
      <w:pStyle w:val="T1OJ"/>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 w15:restartNumberingAfterBreak="0">
    <w:nsid w:val="523F7E4D"/>
    <w:multiLevelType w:val="multilevel"/>
    <w:tmpl w:val="A148D316"/>
    <w:name w:val="T_1_OJ"/>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E0"/>
    <w:rsid w:val="00001290"/>
    <w:rsid w:val="00003F9E"/>
    <w:rsid w:val="00004381"/>
    <w:rsid w:val="00020EE8"/>
    <w:rsid w:val="000352A4"/>
    <w:rsid w:val="00055736"/>
    <w:rsid w:val="00061202"/>
    <w:rsid w:val="00076E69"/>
    <w:rsid w:val="00082FA9"/>
    <w:rsid w:val="00085D4B"/>
    <w:rsid w:val="000A10D1"/>
    <w:rsid w:val="000A610E"/>
    <w:rsid w:val="000A759B"/>
    <w:rsid w:val="000B02C1"/>
    <w:rsid w:val="000B461B"/>
    <w:rsid w:val="000B516C"/>
    <w:rsid w:val="000D2205"/>
    <w:rsid w:val="000D47D9"/>
    <w:rsid w:val="000F0FE6"/>
    <w:rsid w:val="000F2C1C"/>
    <w:rsid w:val="000F52A1"/>
    <w:rsid w:val="00101470"/>
    <w:rsid w:val="0011743B"/>
    <w:rsid w:val="00117760"/>
    <w:rsid w:val="00120BD5"/>
    <w:rsid w:val="00124DB6"/>
    <w:rsid w:val="001250D8"/>
    <w:rsid w:val="00125259"/>
    <w:rsid w:val="00127FC5"/>
    <w:rsid w:val="0013011A"/>
    <w:rsid w:val="001304E7"/>
    <w:rsid w:val="00132445"/>
    <w:rsid w:val="00134475"/>
    <w:rsid w:val="00135F9C"/>
    <w:rsid w:val="001402AD"/>
    <w:rsid w:val="00142028"/>
    <w:rsid w:val="00146CF5"/>
    <w:rsid w:val="00152968"/>
    <w:rsid w:val="001622F3"/>
    <w:rsid w:val="00177056"/>
    <w:rsid w:val="00182848"/>
    <w:rsid w:val="001872BB"/>
    <w:rsid w:val="00195743"/>
    <w:rsid w:val="001A02C6"/>
    <w:rsid w:val="001A1465"/>
    <w:rsid w:val="001C63FB"/>
    <w:rsid w:val="001D7961"/>
    <w:rsid w:val="001E6201"/>
    <w:rsid w:val="001E6640"/>
    <w:rsid w:val="001F10DD"/>
    <w:rsid w:val="001F278F"/>
    <w:rsid w:val="00202939"/>
    <w:rsid w:val="00202BD7"/>
    <w:rsid w:val="00210676"/>
    <w:rsid w:val="002140C0"/>
    <w:rsid w:val="002168CD"/>
    <w:rsid w:val="0022123E"/>
    <w:rsid w:val="0022773F"/>
    <w:rsid w:val="00233448"/>
    <w:rsid w:val="00237163"/>
    <w:rsid w:val="002500CD"/>
    <w:rsid w:val="002617B4"/>
    <w:rsid w:val="002638EC"/>
    <w:rsid w:val="00266CE2"/>
    <w:rsid w:val="002737AC"/>
    <w:rsid w:val="00274588"/>
    <w:rsid w:val="002862C3"/>
    <w:rsid w:val="002960B3"/>
    <w:rsid w:val="00297727"/>
    <w:rsid w:val="002A1A07"/>
    <w:rsid w:val="002A5358"/>
    <w:rsid w:val="002A5FA3"/>
    <w:rsid w:val="002B7C2C"/>
    <w:rsid w:val="002C1B44"/>
    <w:rsid w:val="002C66AF"/>
    <w:rsid w:val="002D4635"/>
    <w:rsid w:val="002E6EDC"/>
    <w:rsid w:val="002F0EDB"/>
    <w:rsid w:val="002F5C9D"/>
    <w:rsid w:val="002F788A"/>
    <w:rsid w:val="003073F7"/>
    <w:rsid w:val="00312D9E"/>
    <w:rsid w:val="00314081"/>
    <w:rsid w:val="00331B0F"/>
    <w:rsid w:val="0034080E"/>
    <w:rsid w:val="00360B57"/>
    <w:rsid w:val="00364798"/>
    <w:rsid w:val="0037046F"/>
    <w:rsid w:val="00370867"/>
    <w:rsid w:val="00372DBC"/>
    <w:rsid w:val="00373E8C"/>
    <w:rsid w:val="00376715"/>
    <w:rsid w:val="003805D7"/>
    <w:rsid w:val="00380623"/>
    <w:rsid w:val="003A7A54"/>
    <w:rsid w:val="003B09B2"/>
    <w:rsid w:val="003B40B1"/>
    <w:rsid w:val="003B61C4"/>
    <w:rsid w:val="003B65C1"/>
    <w:rsid w:val="003C29EF"/>
    <w:rsid w:val="003C5794"/>
    <w:rsid w:val="003D1800"/>
    <w:rsid w:val="003D602F"/>
    <w:rsid w:val="003D72E1"/>
    <w:rsid w:val="003D77F3"/>
    <w:rsid w:val="003E4C44"/>
    <w:rsid w:val="003E6527"/>
    <w:rsid w:val="003F128E"/>
    <w:rsid w:val="003F65C9"/>
    <w:rsid w:val="004064BF"/>
    <w:rsid w:val="00407C9E"/>
    <w:rsid w:val="00407D83"/>
    <w:rsid w:val="00426D58"/>
    <w:rsid w:val="0044431D"/>
    <w:rsid w:val="004505FA"/>
    <w:rsid w:val="00451CFA"/>
    <w:rsid w:val="004523BD"/>
    <w:rsid w:val="00454B9E"/>
    <w:rsid w:val="004666FD"/>
    <w:rsid w:val="004677A7"/>
    <w:rsid w:val="00491254"/>
    <w:rsid w:val="004A4A7A"/>
    <w:rsid w:val="004B0110"/>
    <w:rsid w:val="004B0C6D"/>
    <w:rsid w:val="004B4A6B"/>
    <w:rsid w:val="004B733F"/>
    <w:rsid w:val="004B7C69"/>
    <w:rsid w:val="004D63D2"/>
    <w:rsid w:val="004E0DD1"/>
    <w:rsid w:val="004F0F6E"/>
    <w:rsid w:val="004F6C6D"/>
    <w:rsid w:val="00501B6E"/>
    <w:rsid w:val="0051149D"/>
    <w:rsid w:val="00511A1B"/>
    <w:rsid w:val="005212F0"/>
    <w:rsid w:val="0052658A"/>
    <w:rsid w:val="00535243"/>
    <w:rsid w:val="005478DD"/>
    <w:rsid w:val="00547B0C"/>
    <w:rsid w:val="0056679A"/>
    <w:rsid w:val="005713ED"/>
    <w:rsid w:val="00577886"/>
    <w:rsid w:val="00581C42"/>
    <w:rsid w:val="00583D99"/>
    <w:rsid w:val="005A2E4D"/>
    <w:rsid w:val="005C579F"/>
    <w:rsid w:val="005E4228"/>
    <w:rsid w:val="005E687C"/>
    <w:rsid w:val="006030EF"/>
    <w:rsid w:val="00614746"/>
    <w:rsid w:val="00624BFF"/>
    <w:rsid w:val="00624D20"/>
    <w:rsid w:val="006319EC"/>
    <w:rsid w:val="0063481D"/>
    <w:rsid w:val="00640871"/>
    <w:rsid w:val="00641EC1"/>
    <w:rsid w:val="006576BB"/>
    <w:rsid w:val="006650E3"/>
    <w:rsid w:val="0066649D"/>
    <w:rsid w:val="00681695"/>
    <w:rsid w:val="006A137E"/>
    <w:rsid w:val="006C1B82"/>
    <w:rsid w:val="006C6B08"/>
    <w:rsid w:val="006F53F8"/>
    <w:rsid w:val="006F6337"/>
    <w:rsid w:val="007010C3"/>
    <w:rsid w:val="00711042"/>
    <w:rsid w:val="0071382A"/>
    <w:rsid w:val="00717117"/>
    <w:rsid w:val="00724166"/>
    <w:rsid w:val="00724FB3"/>
    <w:rsid w:val="00726075"/>
    <w:rsid w:val="007270C2"/>
    <w:rsid w:val="007421EB"/>
    <w:rsid w:val="00742587"/>
    <w:rsid w:val="0074447E"/>
    <w:rsid w:val="007660C6"/>
    <w:rsid w:val="00776B76"/>
    <w:rsid w:val="00782B2B"/>
    <w:rsid w:val="00783E8C"/>
    <w:rsid w:val="007860F6"/>
    <w:rsid w:val="007951A3"/>
    <w:rsid w:val="0079711A"/>
    <w:rsid w:val="00797B63"/>
    <w:rsid w:val="007A0E2E"/>
    <w:rsid w:val="007D53CD"/>
    <w:rsid w:val="007E0ABC"/>
    <w:rsid w:val="007E0B18"/>
    <w:rsid w:val="007E43A6"/>
    <w:rsid w:val="007E58B9"/>
    <w:rsid w:val="00805E1A"/>
    <w:rsid w:val="0080696C"/>
    <w:rsid w:val="00811ED2"/>
    <w:rsid w:val="0081648B"/>
    <w:rsid w:val="00826005"/>
    <w:rsid w:val="0083030A"/>
    <w:rsid w:val="00831009"/>
    <w:rsid w:val="008326BC"/>
    <w:rsid w:val="00832A89"/>
    <w:rsid w:val="00843280"/>
    <w:rsid w:val="00843AA5"/>
    <w:rsid w:val="008458AF"/>
    <w:rsid w:val="008477C1"/>
    <w:rsid w:val="00850734"/>
    <w:rsid w:val="00851148"/>
    <w:rsid w:val="0085460C"/>
    <w:rsid w:val="00860E4F"/>
    <w:rsid w:val="00862B29"/>
    <w:rsid w:val="00864462"/>
    <w:rsid w:val="00866B51"/>
    <w:rsid w:val="00894638"/>
    <w:rsid w:val="008A1BA6"/>
    <w:rsid w:val="008A63C3"/>
    <w:rsid w:val="008B1840"/>
    <w:rsid w:val="008C0F5C"/>
    <w:rsid w:val="008D2D73"/>
    <w:rsid w:val="008E33A0"/>
    <w:rsid w:val="008F59A5"/>
    <w:rsid w:val="0090526A"/>
    <w:rsid w:val="009114EF"/>
    <w:rsid w:val="009206BA"/>
    <w:rsid w:val="00924A58"/>
    <w:rsid w:val="00925A1E"/>
    <w:rsid w:val="00936110"/>
    <w:rsid w:val="0094710F"/>
    <w:rsid w:val="00947A19"/>
    <w:rsid w:val="00952DC4"/>
    <w:rsid w:val="009570B1"/>
    <w:rsid w:val="00961440"/>
    <w:rsid w:val="00985744"/>
    <w:rsid w:val="00987F65"/>
    <w:rsid w:val="009A366C"/>
    <w:rsid w:val="009B17E7"/>
    <w:rsid w:val="009D0AA6"/>
    <w:rsid w:val="009D0DF1"/>
    <w:rsid w:val="009D222D"/>
    <w:rsid w:val="009D74DC"/>
    <w:rsid w:val="009E3F29"/>
    <w:rsid w:val="009E45BF"/>
    <w:rsid w:val="009E47FF"/>
    <w:rsid w:val="009F1877"/>
    <w:rsid w:val="009F5CA0"/>
    <w:rsid w:val="00A00A4C"/>
    <w:rsid w:val="00A03564"/>
    <w:rsid w:val="00A0512F"/>
    <w:rsid w:val="00A05CAB"/>
    <w:rsid w:val="00A10083"/>
    <w:rsid w:val="00A13DA4"/>
    <w:rsid w:val="00A209C1"/>
    <w:rsid w:val="00A23809"/>
    <w:rsid w:val="00A2519F"/>
    <w:rsid w:val="00A3099E"/>
    <w:rsid w:val="00A33557"/>
    <w:rsid w:val="00A37611"/>
    <w:rsid w:val="00A415B9"/>
    <w:rsid w:val="00A44D1A"/>
    <w:rsid w:val="00A46418"/>
    <w:rsid w:val="00A465CC"/>
    <w:rsid w:val="00A472C5"/>
    <w:rsid w:val="00A478CE"/>
    <w:rsid w:val="00A55F00"/>
    <w:rsid w:val="00A721FD"/>
    <w:rsid w:val="00A76FEF"/>
    <w:rsid w:val="00A9190D"/>
    <w:rsid w:val="00AA7768"/>
    <w:rsid w:val="00AC1747"/>
    <w:rsid w:val="00AC7C71"/>
    <w:rsid w:val="00AD624E"/>
    <w:rsid w:val="00B011E0"/>
    <w:rsid w:val="00B051B7"/>
    <w:rsid w:val="00B11962"/>
    <w:rsid w:val="00B123E8"/>
    <w:rsid w:val="00B27DBD"/>
    <w:rsid w:val="00B30A91"/>
    <w:rsid w:val="00B3182B"/>
    <w:rsid w:val="00B34D84"/>
    <w:rsid w:val="00B41C4A"/>
    <w:rsid w:val="00B47DC2"/>
    <w:rsid w:val="00B47EF5"/>
    <w:rsid w:val="00B53523"/>
    <w:rsid w:val="00B53E89"/>
    <w:rsid w:val="00B57257"/>
    <w:rsid w:val="00B611FB"/>
    <w:rsid w:val="00B67AB2"/>
    <w:rsid w:val="00B72562"/>
    <w:rsid w:val="00B75C6B"/>
    <w:rsid w:val="00B817C4"/>
    <w:rsid w:val="00B94CED"/>
    <w:rsid w:val="00BA1718"/>
    <w:rsid w:val="00BA7608"/>
    <w:rsid w:val="00BB16A6"/>
    <w:rsid w:val="00BC4965"/>
    <w:rsid w:val="00BC5AD8"/>
    <w:rsid w:val="00BD4CCF"/>
    <w:rsid w:val="00BE1C35"/>
    <w:rsid w:val="00BE293D"/>
    <w:rsid w:val="00BE66FF"/>
    <w:rsid w:val="00BF0CCD"/>
    <w:rsid w:val="00BF18B6"/>
    <w:rsid w:val="00BF680C"/>
    <w:rsid w:val="00BF7D2B"/>
    <w:rsid w:val="00C20E81"/>
    <w:rsid w:val="00C27249"/>
    <w:rsid w:val="00C31608"/>
    <w:rsid w:val="00C341CF"/>
    <w:rsid w:val="00C40388"/>
    <w:rsid w:val="00C44C59"/>
    <w:rsid w:val="00C51741"/>
    <w:rsid w:val="00C579FF"/>
    <w:rsid w:val="00C71F0A"/>
    <w:rsid w:val="00C7513C"/>
    <w:rsid w:val="00C91D11"/>
    <w:rsid w:val="00C92B89"/>
    <w:rsid w:val="00C94185"/>
    <w:rsid w:val="00C95BD0"/>
    <w:rsid w:val="00CA6DA9"/>
    <w:rsid w:val="00CB0B27"/>
    <w:rsid w:val="00CD67F7"/>
    <w:rsid w:val="00CE36C7"/>
    <w:rsid w:val="00D103BA"/>
    <w:rsid w:val="00D22A6C"/>
    <w:rsid w:val="00D33F9F"/>
    <w:rsid w:val="00D424F5"/>
    <w:rsid w:val="00D452D0"/>
    <w:rsid w:val="00D51945"/>
    <w:rsid w:val="00D57074"/>
    <w:rsid w:val="00D62071"/>
    <w:rsid w:val="00D75690"/>
    <w:rsid w:val="00D905EC"/>
    <w:rsid w:val="00D91B94"/>
    <w:rsid w:val="00D924A9"/>
    <w:rsid w:val="00DA11A3"/>
    <w:rsid w:val="00DA45BB"/>
    <w:rsid w:val="00DB170C"/>
    <w:rsid w:val="00DB7FE1"/>
    <w:rsid w:val="00DD00CE"/>
    <w:rsid w:val="00DD0E64"/>
    <w:rsid w:val="00DD5934"/>
    <w:rsid w:val="00DE350F"/>
    <w:rsid w:val="00DF2846"/>
    <w:rsid w:val="00DF6A20"/>
    <w:rsid w:val="00DF7F60"/>
    <w:rsid w:val="00E111DD"/>
    <w:rsid w:val="00E144A6"/>
    <w:rsid w:val="00E21CCF"/>
    <w:rsid w:val="00E22098"/>
    <w:rsid w:val="00E2407A"/>
    <w:rsid w:val="00E2535F"/>
    <w:rsid w:val="00E26922"/>
    <w:rsid w:val="00E3034B"/>
    <w:rsid w:val="00E3034F"/>
    <w:rsid w:val="00E35D84"/>
    <w:rsid w:val="00E4556C"/>
    <w:rsid w:val="00E51B32"/>
    <w:rsid w:val="00E60CD4"/>
    <w:rsid w:val="00E62FF6"/>
    <w:rsid w:val="00E6420E"/>
    <w:rsid w:val="00E65138"/>
    <w:rsid w:val="00E700E9"/>
    <w:rsid w:val="00E82FE0"/>
    <w:rsid w:val="00E93ABC"/>
    <w:rsid w:val="00EA2CF6"/>
    <w:rsid w:val="00ED0638"/>
    <w:rsid w:val="00EE1BB7"/>
    <w:rsid w:val="00EE2553"/>
    <w:rsid w:val="00EE3E17"/>
    <w:rsid w:val="00EE7261"/>
    <w:rsid w:val="00F01D97"/>
    <w:rsid w:val="00F0212E"/>
    <w:rsid w:val="00F04422"/>
    <w:rsid w:val="00F0528A"/>
    <w:rsid w:val="00F069F2"/>
    <w:rsid w:val="00F1454A"/>
    <w:rsid w:val="00F22929"/>
    <w:rsid w:val="00F3086C"/>
    <w:rsid w:val="00F318E2"/>
    <w:rsid w:val="00F379A6"/>
    <w:rsid w:val="00F404F6"/>
    <w:rsid w:val="00F57609"/>
    <w:rsid w:val="00F70305"/>
    <w:rsid w:val="00F7755A"/>
    <w:rsid w:val="00F778F1"/>
    <w:rsid w:val="00F824E7"/>
    <w:rsid w:val="00F82B7D"/>
    <w:rsid w:val="00F86DFB"/>
    <w:rsid w:val="00F9702A"/>
    <w:rsid w:val="00FA4B0E"/>
    <w:rsid w:val="00FA5636"/>
    <w:rsid w:val="00FB664C"/>
    <w:rsid w:val="00FC102C"/>
    <w:rsid w:val="00FC2000"/>
    <w:rsid w:val="00FC5AC0"/>
    <w:rsid w:val="00FD1351"/>
    <w:rsid w:val="00FD434D"/>
    <w:rsid w:val="00FE0F1E"/>
    <w:rsid w:val="00FE2120"/>
    <w:rsid w:val="00FE3C59"/>
    <w:rsid w:val="00FE3E59"/>
    <w:rsid w:val="00FE7D46"/>
    <w:rsid w:val="00FF456A"/>
    <w:rsid w:val="00FF4BD8"/>
    <w:rsid w:val="00FF57BF"/>
    <w:rsid w:val="00FF7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300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82"/>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B011E0"/>
    <w:pPr>
      <w:ind w:left="720"/>
      <w:contextualSpacing/>
    </w:pPr>
  </w:style>
  <w:style w:type="paragraph" w:customStyle="1" w:styleId="CorpstexteArial10aligngauche">
    <w:name w:val="Corps_texte_Arial10_aligné_gauche"/>
    <w:basedOn w:val="Normal"/>
    <w:rsid w:val="00B011E0"/>
    <w:pPr>
      <w:tabs>
        <w:tab w:val="left" w:pos="3260"/>
        <w:tab w:val="left" w:pos="6521"/>
      </w:tabs>
      <w:spacing w:after="0" w:line="240" w:lineRule="auto"/>
      <w:jc w:val="both"/>
    </w:pPr>
    <w:rPr>
      <w:rFonts w:ascii="Arial" w:hAnsi="Arial" w:cs="Arial"/>
      <w:sz w:val="20"/>
      <w:szCs w:val="20"/>
    </w:rPr>
  </w:style>
  <w:style w:type="paragraph" w:styleId="Notedebasdepage">
    <w:name w:val="footnote text"/>
    <w:basedOn w:val="Normal"/>
    <w:link w:val="NotedebasdepageCar1"/>
    <w:uiPriority w:val="99"/>
    <w:unhideWhenUsed/>
    <w:rsid w:val="00B011E0"/>
    <w:pPr>
      <w:spacing w:after="0" w:line="240" w:lineRule="auto"/>
    </w:pPr>
    <w:rPr>
      <w:sz w:val="20"/>
      <w:szCs w:val="20"/>
    </w:rPr>
  </w:style>
  <w:style w:type="character" w:customStyle="1" w:styleId="NotedebasdepageCar">
    <w:name w:val="Note de bas de page Car"/>
    <w:basedOn w:val="Policepardfaut"/>
    <w:uiPriority w:val="99"/>
    <w:rsid w:val="00B011E0"/>
    <w:rPr>
      <w:rFonts w:ascii="Calibri" w:eastAsia="Times New Roman" w:hAnsi="Calibri" w:cs="Times New Roman"/>
      <w:sz w:val="20"/>
      <w:szCs w:val="20"/>
      <w:lang w:eastAsia="fr-FR"/>
    </w:rPr>
  </w:style>
  <w:style w:type="character" w:styleId="Appelnotedebasdep">
    <w:name w:val="footnote reference"/>
    <w:aliases w:val="En-tête Car1 Car,En-tête Car Car Car,En-tête Car1 Car Car Car,En-tête Car Car Car Car Car,En-tête Car1 Car Car Car Car Car,En-tête Car Car Car Car Car Car Car"/>
    <w:uiPriority w:val="99"/>
    <w:rsid w:val="00B011E0"/>
    <w:rPr>
      <w:vertAlign w:val="superscript"/>
    </w:rPr>
  </w:style>
  <w:style w:type="character" w:customStyle="1" w:styleId="Hoofdtekst2">
    <w:name w:val="Hoofdtekst (2)_"/>
    <w:basedOn w:val="Policepardfaut"/>
    <w:link w:val="Hoofdtekst20"/>
    <w:rsid w:val="00B011E0"/>
    <w:rPr>
      <w:rFonts w:ascii="Arial" w:eastAsia="Arial" w:hAnsi="Arial" w:cs="Arial"/>
      <w:b/>
      <w:bCs/>
      <w:shd w:val="clear" w:color="auto" w:fill="FFFFFF"/>
    </w:rPr>
  </w:style>
  <w:style w:type="paragraph" w:customStyle="1" w:styleId="Hoofdtekst20">
    <w:name w:val="Hoofdtekst (2)"/>
    <w:basedOn w:val="Normal"/>
    <w:link w:val="Hoofdtekst2"/>
    <w:rsid w:val="00B011E0"/>
    <w:pPr>
      <w:widowControl w:val="0"/>
      <w:shd w:val="clear" w:color="auto" w:fill="FFFFFF"/>
      <w:spacing w:before="500" w:after="0" w:line="226" w:lineRule="exact"/>
      <w:ind w:hanging="600"/>
      <w:jc w:val="center"/>
    </w:pPr>
    <w:rPr>
      <w:rFonts w:ascii="Arial" w:eastAsia="Arial" w:hAnsi="Arial" w:cs="Arial"/>
      <w:b/>
      <w:bCs/>
      <w:lang w:eastAsia="en-US"/>
    </w:rPr>
  </w:style>
  <w:style w:type="character" w:customStyle="1" w:styleId="Hoofdtekst6">
    <w:name w:val="Hoofdtekst (6)_"/>
    <w:basedOn w:val="Policepardfaut"/>
    <w:link w:val="Hoofdtekst60"/>
    <w:rsid w:val="00B011E0"/>
    <w:rPr>
      <w:rFonts w:ascii="Arial" w:eastAsia="Arial" w:hAnsi="Arial" w:cs="Arial"/>
      <w:i/>
      <w:iCs/>
      <w:shd w:val="clear" w:color="auto" w:fill="FFFFFF"/>
    </w:rPr>
  </w:style>
  <w:style w:type="paragraph" w:customStyle="1" w:styleId="Hoofdtekst60">
    <w:name w:val="Hoofdtekst (6)"/>
    <w:basedOn w:val="Normal"/>
    <w:link w:val="Hoofdtekst6"/>
    <w:rsid w:val="00B011E0"/>
    <w:pPr>
      <w:widowControl w:val="0"/>
      <w:shd w:val="clear" w:color="auto" w:fill="FFFFFF"/>
      <w:spacing w:after="220" w:line="235" w:lineRule="exact"/>
      <w:ind w:hanging="560"/>
    </w:pPr>
    <w:rPr>
      <w:rFonts w:ascii="Arial" w:eastAsia="Arial" w:hAnsi="Arial" w:cs="Arial"/>
      <w:i/>
      <w:iCs/>
      <w:lang w:eastAsia="en-US"/>
    </w:rPr>
  </w:style>
  <w:style w:type="character" w:customStyle="1" w:styleId="Hoofdtekst7">
    <w:name w:val="Hoofdtekst (7)_"/>
    <w:basedOn w:val="Policepardfaut"/>
    <w:link w:val="Hoofdtekst70"/>
    <w:rsid w:val="00B011E0"/>
    <w:rPr>
      <w:rFonts w:ascii="Arial" w:eastAsia="Arial" w:hAnsi="Arial" w:cs="Arial"/>
      <w:b/>
      <w:bCs/>
      <w:sz w:val="18"/>
      <w:szCs w:val="18"/>
      <w:shd w:val="clear" w:color="auto" w:fill="FFFFFF"/>
    </w:rPr>
  </w:style>
  <w:style w:type="character" w:customStyle="1" w:styleId="Hoofdtekst7Calibri95ptNietvet">
    <w:name w:val="Hoofdtekst (7) + Calibri;9;5 pt;Niet vet"/>
    <w:basedOn w:val="Hoofdtekst7"/>
    <w:rsid w:val="00B011E0"/>
    <w:rPr>
      <w:rFonts w:ascii="Calibri" w:eastAsia="Calibri" w:hAnsi="Calibri" w:cs="Calibri"/>
      <w:b/>
      <w:bCs/>
      <w:color w:val="000000"/>
      <w:spacing w:val="0"/>
      <w:w w:val="100"/>
      <w:position w:val="0"/>
      <w:sz w:val="19"/>
      <w:szCs w:val="19"/>
      <w:shd w:val="clear" w:color="auto" w:fill="FFFFFF"/>
      <w:lang w:val="fr-FR" w:eastAsia="fr-FR" w:bidi="fr-FR"/>
    </w:rPr>
  </w:style>
  <w:style w:type="paragraph" w:customStyle="1" w:styleId="Hoofdtekst70">
    <w:name w:val="Hoofdtekst (7)"/>
    <w:basedOn w:val="Normal"/>
    <w:link w:val="Hoofdtekst7"/>
    <w:rsid w:val="00B011E0"/>
    <w:pPr>
      <w:widowControl w:val="0"/>
      <w:shd w:val="clear" w:color="auto" w:fill="FFFFFF"/>
      <w:spacing w:after="0" w:line="269" w:lineRule="exact"/>
      <w:ind w:hanging="360"/>
    </w:pPr>
    <w:rPr>
      <w:rFonts w:ascii="Arial" w:eastAsia="Arial" w:hAnsi="Arial" w:cs="Arial"/>
      <w:b/>
      <w:bCs/>
      <w:sz w:val="18"/>
      <w:szCs w:val="18"/>
      <w:lang w:eastAsia="en-US"/>
    </w:rPr>
  </w:style>
  <w:style w:type="character" w:customStyle="1" w:styleId="ParagraphedelisteCar">
    <w:name w:val="Paragraphe de liste Car"/>
    <w:basedOn w:val="Policepardfaut"/>
    <w:link w:val="Paragraphedeliste"/>
    <w:uiPriority w:val="34"/>
    <w:rsid w:val="00B011E0"/>
    <w:rPr>
      <w:rFonts w:ascii="Calibri" w:eastAsia="Times New Roman" w:hAnsi="Calibri" w:cs="Times New Roman"/>
      <w:lang w:eastAsia="fr-FR"/>
    </w:rPr>
  </w:style>
  <w:style w:type="character" w:customStyle="1" w:styleId="NotedebasdepageCar1">
    <w:name w:val="Note de bas de page Car1"/>
    <w:basedOn w:val="Policepardfaut"/>
    <w:link w:val="Notedebasdepage"/>
    <w:uiPriority w:val="99"/>
    <w:semiHidden/>
    <w:rsid w:val="00B011E0"/>
    <w:rPr>
      <w:rFonts w:ascii="Calibri" w:eastAsia="Times New Roman" w:hAnsi="Calibri" w:cs="Times New Roman"/>
      <w:sz w:val="20"/>
      <w:szCs w:val="20"/>
      <w:lang w:eastAsia="fr-FR"/>
    </w:rPr>
  </w:style>
  <w:style w:type="paragraph" w:styleId="Textedebulles">
    <w:name w:val="Balloon Text"/>
    <w:basedOn w:val="Normal"/>
    <w:link w:val="TextedebullesCar"/>
    <w:uiPriority w:val="99"/>
    <w:semiHidden/>
    <w:unhideWhenUsed/>
    <w:rsid w:val="00B011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11E0"/>
    <w:rPr>
      <w:rFonts w:ascii="Tahoma" w:eastAsia="Times New Roman" w:hAnsi="Tahoma" w:cs="Tahoma"/>
      <w:sz w:val="16"/>
      <w:szCs w:val="16"/>
      <w:lang w:eastAsia="fr-FR"/>
    </w:rPr>
  </w:style>
  <w:style w:type="paragraph" w:styleId="En-tte">
    <w:name w:val="header"/>
    <w:aliases w:val="En-tête Car1,En-tête Car Car,En-tête Car1 Car Car,En-tête Car Car Car Car,En-tête Car1 Car Car Car Car,En-tête Car Car Car Car Car Car"/>
    <w:basedOn w:val="Normal"/>
    <w:link w:val="En-tteCar"/>
    <w:uiPriority w:val="99"/>
    <w:unhideWhenUsed/>
    <w:rsid w:val="00B11962"/>
    <w:pPr>
      <w:tabs>
        <w:tab w:val="center" w:pos="4536"/>
        <w:tab w:val="right" w:pos="9072"/>
      </w:tabs>
      <w:spacing w:after="0" w:line="240" w:lineRule="auto"/>
    </w:pPr>
  </w:style>
  <w:style w:type="character" w:customStyle="1" w:styleId="En-tteCar">
    <w:name w:val="En-tête Car"/>
    <w:aliases w:val="En-tête Car1 Car1,En-tête Car Car Car1,En-tête Car1 Car Car Car1,En-tête Car Car Car Car Car1,En-tête Car1 Car Car Car Car Car1,En-tête Car Car Car Car Car Car Car1"/>
    <w:basedOn w:val="Policepardfaut"/>
    <w:link w:val="En-tte"/>
    <w:uiPriority w:val="99"/>
    <w:rsid w:val="00B11962"/>
    <w:rPr>
      <w:rFonts w:ascii="Calibri" w:eastAsia="Times New Roman" w:hAnsi="Calibri" w:cs="Times New Roman"/>
      <w:lang w:eastAsia="fr-FR"/>
    </w:rPr>
  </w:style>
  <w:style w:type="paragraph" w:styleId="Pieddepage">
    <w:name w:val="footer"/>
    <w:basedOn w:val="Normal"/>
    <w:link w:val="PieddepageCar"/>
    <w:uiPriority w:val="99"/>
    <w:unhideWhenUsed/>
    <w:rsid w:val="00B119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1962"/>
    <w:rPr>
      <w:rFonts w:ascii="Calibri" w:eastAsia="Times New Roman" w:hAnsi="Calibri" w:cs="Times New Roman"/>
      <w:lang w:eastAsia="fr-FR"/>
    </w:rPr>
  </w:style>
  <w:style w:type="paragraph" w:customStyle="1" w:styleId="T1OJTechncotedoc">
    <w:name w:val="T_1_OJ_Techn_cote_doc"/>
    <w:basedOn w:val="Normal"/>
    <w:qFormat/>
    <w:rsid w:val="005A2E4D"/>
    <w:pPr>
      <w:tabs>
        <w:tab w:val="left" w:pos="567"/>
      </w:tabs>
      <w:spacing w:after="0" w:line="240" w:lineRule="atLeast"/>
      <w:ind w:left="567"/>
      <w:jc w:val="both"/>
    </w:pPr>
    <w:rPr>
      <w:rFonts w:ascii="Arial" w:hAnsi="Arial"/>
      <w:color w:val="000000"/>
      <w:sz w:val="20"/>
      <w:szCs w:val="24"/>
      <w:lang w:eastAsia="en-GB"/>
    </w:rPr>
  </w:style>
  <w:style w:type="paragraph" w:customStyle="1" w:styleId="T1OJTechncotedocitalique">
    <w:name w:val="T_1_OJ_Techn_cote_doc_italique"/>
    <w:basedOn w:val="T1OJTechncotedoc"/>
    <w:qFormat/>
    <w:rsid w:val="005A2E4D"/>
    <w:rPr>
      <w:i/>
    </w:rPr>
  </w:style>
  <w:style w:type="paragraph" w:customStyle="1" w:styleId="T1OJJWGlettrespar">
    <w:name w:val="T_1_OJ_JWG_lettres_par"/>
    <w:basedOn w:val="Normal"/>
    <w:qFormat/>
    <w:rsid w:val="005A2E4D"/>
    <w:pPr>
      <w:tabs>
        <w:tab w:val="left" w:pos="992"/>
      </w:tabs>
      <w:spacing w:before="60" w:after="0" w:line="240" w:lineRule="atLeast"/>
      <w:ind w:left="992" w:firstLine="1"/>
      <w:jc w:val="both"/>
    </w:pPr>
    <w:rPr>
      <w:rFonts w:ascii="Arial" w:hAnsi="Arial" w:cs="Arial"/>
      <w:snapToGrid w:val="0"/>
      <w:sz w:val="20"/>
      <w:szCs w:val="20"/>
      <w:lang w:val="en-US"/>
    </w:rPr>
  </w:style>
  <w:style w:type="paragraph" w:customStyle="1" w:styleId="TGauche">
    <w:name w:val="T_Gauche"/>
    <w:basedOn w:val="Normal"/>
    <w:qFormat/>
    <w:rsid w:val="005A2E4D"/>
    <w:pPr>
      <w:spacing w:after="0" w:line="240" w:lineRule="atLeast"/>
      <w:jc w:val="both"/>
    </w:pPr>
    <w:rPr>
      <w:rFonts w:ascii="Arial" w:hAnsi="Arial" w:cs="Arial"/>
      <w:snapToGrid w:val="0"/>
      <w:sz w:val="20"/>
      <w:szCs w:val="20"/>
      <w:lang w:val="de-DE" w:bidi="fr-FR"/>
    </w:rPr>
  </w:style>
  <w:style w:type="paragraph" w:customStyle="1" w:styleId="T1OJTechncotetiretgras">
    <w:name w:val="T_1_OJ_Techn_cote_tiret_gras"/>
    <w:basedOn w:val="T1OJ"/>
    <w:qFormat/>
    <w:rsid w:val="00641EC1"/>
    <w:rPr>
      <w:lang w:val="de-DE"/>
    </w:rPr>
  </w:style>
  <w:style w:type="paragraph" w:customStyle="1" w:styleId="T1OJJWGlettresparital">
    <w:name w:val="T_1_OJ_JWG_lettres_par_ital"/>
    <w:basedOn w:val="T1OJJWGlettrespar"/>
    <w:qFormat/>
    <w:rsid w:val="005A2E4D"/>
    <w:pPr>
      <w:spacing w:before="0"/>
      <w:ind w:firstLine="0"/>
    </w:pPr>
    <w:rPr>
      <w:i/>
    </w:rPr>
  </w:style>
  <w:style w:type="paragraph" w:customStyle="1" w:styleId="T1OJ">
    <w:name w:val="T_1_OJ"/>
    <w:basedOn w:val="Normal"/>
    <w:qFormat/>
    <w:rsid w:val="00C341CF"/>
    <w:pPr>
      <w:keepNext/>
      <w:keepLines/>
      <w:numPr>
        <w:ilvl w:val="1"/>
        <w:numId w:val="1"/>
      </w:numPr>
      <w:spacing w:after="0" w:line="240" w:lineRule="atLeast"/>
      <w:jc w:val="both"/>
      <w:outlineLvl w:val="0"/>
    </w:pPr>
    <w:rPr>
      <w:rFonts w:ascii="Arial Gras" w:hAnsi="Arial Gras"/>
      <w:b/>
      <w:bCs/>
      <w:snapToGrid w:val="0"/>
      <w:sz w:val="20"/>
      <w:szCs w:val="28"/>
      <w:lang w:bidi="fr-FR"/>
    </w:rPr>
  </w:style>
  <w:style w:type="character" w:styleId="Marquedecommentaire">
    <w:name w:val="annotation reference"/>
    <w:basedOn w:val="Policepardfaut"/>
    <w:uiPriority w:val="99"/>
    <w:semiHidden/>
    <w:unhideWhenUsed/>
    <w:rsid w:val="009D74DC"/>
    <w:rPr>
      <w:sz w:val="16"/>
      <w:szCs w:val="16"/>
    </w:rPr>
  </w:style>
  <w:style w:type="paragraph" w:styleId="Commentaire">
    <w:name w:val="annotation text"/>
    <w:basedOn w:val="Normal"/>
    <w:link w:val="CommentaireCar"/>
    <w:uiPriority w:val="99"/>
    <w:semiHidden/>
    <w:unhideWhenUsed/>
    <w:rsid w:val="009D74DC"/>
    <w:pPr>
      <w:spacing w:line="240" w:lineRule="auto"/>
    </w:pPr>
    <w:rPr>
      <w:sz w:val="20"/>
      <w:szCs w:val="20"/>
    </w:rPr>
  </w:style>
  <w:style w:type="character" w:customStyle="1" w:styleId="CommentaireCar">
    <w:name w:val="Commentaire Car"/>
    <w:basedOn w:val="Policepardfaut"/>
    <w:link w:val="Commentaire"/>
    <w:uiPriority w:val="99"/>
    <w:semiHidden/>
    <w:rsid w:val="009D74DC"/>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D74DC"/>
    <w:rPr>
      <w:b/>
      <w:bCs/>
    </w:rPr>
  </w:style>
  <w:style w:type="character" w:customStyle="1" w:styleId="ObjetducommentaireCar">
    <w:name w:val="Objet du commentaire Car"/>
    <w:basedOn w:val="CommentaireCar"/>
    <w:link w:val="Objetducommentaire"/>
    <w:uiPriority w:val="99"/>
    <w:semiHidden/>
    <w:rsid w:val="009D74DC"/>
    <w:rPr>
      <w:rFonts w:ascii="Calibri" w:eastAsia="Times New Roman" w:hAnsi="Calibri" w:cs="Times New Roman"/>
      <w:b/>
      <w:bCs/>
      <w:sz w:val="20"/>
      <w:szCs w:val="20"/>
      <w:lang w:eastAsia="fr-FR"/>
    </w:rPr>
  </w:style>
  <w:style w:type="paragraph" w:customStyle="1" w:styleId="Contenuducadre">
    <w:name w:val="Contenu du cadre"/>
    <w:basedOn w:val="Corpsdetexte"/>
    <w:rsid w:val="00F01D97"/>
    <w:pPr>
      <w:suppressAutoHyphens/>
      <w:spacing w:line="240" w:lineRule="auto"/>
    </w:pPr>
    <w:rPr>
      <w:rFonts w:ascii="Times New Roman" w:hAnsi="Times New Roman"/>
      <w:snapToGrid w:val="0"/>
      <w:sz w:val="24"/>
      <w:szCs w:val="24"/>
      <w:lang w:val="nl-NL"/>
    </w:rPr>
  </w:style>
  <w:style w:type="paragraph" w:styleId="Corpsdetexte">
    <w:name w:val="Body Text"/>
    <w:basedOn w:val="Normal"/>
    <w:link w:val="CorpsdetexteCar"/>
    <w:uiPriority w:val="99"/>
    <w:semiHidden/>
    <w:unhideWhenUsed/>
    <w:rsid w:val="00F01D97"/>
    <w:pPr>
      <w:spacing w:after="120"/>
    </w:pPr>
  </w:style>
  <w:style w:type="character" w:customStyle="1" w:styleId="CorpsdetexteCar">
    <w:name w:val="Corps de texte Car"/>
    <w:basedOn w:val="Policepardfaut"/>
    <w:link w:val="Corpsdetexte"/>
    <w:uiPriority w:val="99"/>
    <w:semiHidden/>
    <w:rsid w:val="00F01D97"/>
    <w:rPr>
      <w:rFonts w:ascii="Calibri" w:eastAsia="Times New Roman" w:hAnsi="Calibri" w:cs="Times New Roman"/>
      <w:lang w:eastAsia="fr-FR"/>
    </w:rPr>
  </w:style>
  <w:style w:type="paragraph" w:styleId="Citation">
    <w:name w:val="Quote"/>
    <w:basedOn w:val="Normal"/>
    <w:next w:val="Normal"/>
    <w:link w:val="CitationCar"/>
    <w:uiPriority w:val="29"/>
    <w:qFormat/>
    <w:rsid w:val="002140C0"/>
    <w:rPr>
      <w:i/>
      <w:iCs/>
      <w:color w:val="000000" w:themeColor="text1"/>
    </w:rPr>
  </w:style>
  <w:style w:type="character" w:customStyle="1" w:styleId="CitationCar">
    <w:name w:val="Citation Car"/>
    <w:basedOn w:val="Policepardfaut"/>
    <w:link w:val="Citation"/>
    <w:uiPriority w:val="29"/>
    <w:rsid w:val="002140C0"/>
    <w:rPr>
      <w:rFonts w:ascii="Calibri" w:eastAsia="Times New Roman" w:hAnsi="Calibri" w:cs="Times New Roman"/>
      <w:i/>
      <w:iCs/>
      <w:color w:val="000000" w:themeColor="text1"/>
      <w:lang w:eastAsia="fr-FR"/>
    </w:rPr>
  </w:style>
  <w:style w:type="character" w:styleId="Lienhypertexte">
    <w:name w:val="Hyperlink"/>
    <w:basedOn w:val="Policepardfaut"/>
    <w:uiPriority w:val="99"/>
    <w:unhideWhenUsed/>
    <w:rsid w:val="00925A1E"/>
    <w:rPr>
      <w:color w:val="0000FF" w:themeColor="hyperlink"/>
      <w:u w:val="single"/>
    </w:rPr>
  </w:style>
  <w:style w:type="table" w:styleId="Grilledutableau">
    <w:name w:val="Table Grid"/>
    <w:basedOn w:val="TableauNormal"/>
    <w:uiPriority w:val="39"/>
    <w:rsid w:val="00EA2CF6"/>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5212F0"/>
    <w:rPr>
      <w:color w:val="605E5C"/>
      <w:shd w:val="clear" w:color="auto" w:fill="E1DFDD"/>
    </w:rPr>
  </w:style>
  <w:style w:type="character" w:styleId="Mentionnonrsolue">
    <w:name w:val="Unresolved Mention"/>
    <w:basedOn w:val="Policepardfaut"/>
    <w:uiPriority w:val="99"/>
    <w:semiHidden/>
    <w:unhideWhenUsed/>
    <w:rsid w:val="00952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9306">
      <w:bodyDiv w:val="1"/>
      <w:marLeft w:val="0"/>
      <w:marRight w:val="0"/>
      <w:marTop w:val="0"/>
      <w:marBottom w:val="0"/>
      <w:divBdr>
        <w:top w:val="none" w:sz="0" w:space="0" w:color="auto"/>
        <w:left w:val="none" w:sz="0" w:space="0" w:color="auto"/>
        <w:bottom w:val="none" w:sz="0" w:space="0" w:color="auto"/>
        <w:right w:val="none" w:sz="0" w:space="0" w:color="auto"/>
      </w:divBdr>
    </w:div>
    <w:div w:id="80376343">
      <w:bodyDiv w:val="1"/>
      <w:marLeft w:val="0"/>
      <w:marRight w:val="0"/>
      <w:marTop w:val="0"/>
      <w:marBottom w:val="0"/>
      <w:divBdr>
        <w:top w:val="none" w:sz="0" w:space="0" w:color="auto"/>
        <w:left w:val="none" w:sz="0" w:space="0" w:color="auto"/>
        <w:bottom w:val="none" w:sz="0" w:space="0" w:color="auto"/>
        <w:right w:val="none" w:sz="0" w:space="0" w:color="auto"/>
      </w:divBdr>
    </w:div>
    <w:div w:id="856044551">
      <w:bodyDiv w:val="1"/>
      <w:marLeft w:val="0"/>
      <w:marRight w:val="0"/>
      <w:marTop w:val="0"/>
      <w:marBottom w:val="0"/>
      <w:divBdr>
        <w:top w:val="none" w:sz="0" w:space="0" w:color="auto"/>
        <w:left w:val="none" w:sz="0" w:space="0" w:color="auto"/>
        <w:bottom w:val="none" w:sz="0" w:space="0" w:color="auto"/>
        <w:right w:val="none" w:sz="0" w:space="0" w:color="auto"/>
      </w:divBdr>
    </w:div>
    <w:div w:id="1202132643">
      <w:bodyDiv w:val="1"/>
      <w:marLeft w:val="0"/>
      <w:marRight w:val="0"/>
      <w:marTop w:val="0"/>
      <w:marBottom w:val="0"/>
      <w:divBdr>
        <w:top w:val="none" w:sz="0" w:space="0" w:color="auto"/>
        <w:left w:val="none" w:sz="0" w:space="0" w:color="auto"/>
        <w:bottom w:val="none" w:sz="0" w:space="0" w:color="auto"/>
        <w:right w:val="none" w:sz="0" w:space="0" w:color="auto"/>
      </w:divBdr>
    </w:div>
    <w:div w:id="1206210739">
      <w:bodyDiv w:val="1"/>
      <w:marLeft w:val="0"/>
      <w:marRight w:val="0"/>
      <w:marTop w:val="0"/>
      <w:marBottom w:val="0"/>
      <w:divBdr>
        <w:top w:val="none" w:sz="0" w:space="0" w:color="auto"/>
        <w:left w:val="none" w:sz="0" w:space="0" w:color="auto"/>
        <w:bottom w:val="none" w:sz="0" w:space="0" w:color="auto"/>
        <w:right w:val="none" w:sz="0" w:space="0" w:color="auto"/>
      </w:divBdr>
    </w:div>
    <w:div w:id="1228033447">
      <w:bodyDiv w:val="1"/>
      <w:marLeft w:val="0"/>
      <w:marRight w:val="0"/>
      <w:marTop w:val="0"/>
      <w:marBottom w:val="0"/>
      <w:divBdr>
        <w:top w:val="none" w:sz="0" w:space="0" w:color="auto"/>
        <w:left w:val="none" w:sz="0" w:space="0" w:color="auto"/>
        <w:bottom w:val="none" w:sz="0" w:space="0" w:color="auto"/>
        <w:right w:val="none" w:sz="0" w:space="0" w:color="auto"/>
      </w:divBdr>
    </w:div>
    <w:div w:id="1327049048">
      <w:bodyDiv w:val="1"/>
      <w:marLeft w:val="0"/>
      <w:marRight w:val="0"/>
      <w:marTop w:val="0"/>
      <w:marBottom w:val="0"/>
      <w:divBdr>
        <w:top w:val="none" w:sz="0" w:space="0" w:color="auto"/>
        <w:left w:val="none" w:sz="0" w:space="0" w:color="auto"/>
        <w:bottom w:val="none" w:sz="0" w:space="0" w:color="auto"/>
        <w:right w:val="none" w:sz="0" w:space="0" w:color="auto"/>
      </w:divBdr>
    </w:div>
    <w:div w:id="1680307297">
      <w:bodyDiv w:val="1"/>
      <w:marLeft w:val="0"/>
      <w:marRight w:val="0"/>
      <w:marTop w:val="0"/>
      <w:marBottom w:val="0"/>
      <w:divBdr>
        <w:top w:val="none" w:sz="0" w:space="0" w:color="auto"/>
        <w:left w:val="none" w:sz="0" w:space="0" w:color="auto"/>
        <w:bottom w:val="none" w:sz="0" w:space="0" w:color="auto"/>
        <w:right w:val="none" w:sz="0" w:space="0" w:color="auto"/>
      </w:divBdr>
    </w:div>
    <w:div w:id="1699505591">
      <w:bodyDiv w:val="1"/>
      <w:marLeft w:val="0"/>
      <w:marRight w:val="0"/>
      <w:marTop w:val="0"/>
      <w:marBottom w:val="0"/>
      <w:divBdr>
        <w:top w:val="none" w:sz="0" w:space="0" w:color="auto"/>
        <w:left w:val="none" w:sz="0" w:space="0" w:color="auto"/>
        <w:bottom w:val="none" w:sz="0" w:space="0" w:color="auto"/>
        <w:right w:val="none" w:sz="0" w:space="0" w:color="auto"/>
      </w:divBdr>
    </w:div>
    <w:div w:id="2043358751">
      <w:bodyDiv w:val="1"/>
      <w:marLeft w:val="0"/>
      <w:marRight w:val="0"/>
      <w:marTop w:val="0"/>
      <w:marBottom w:val="0"/>
      <w:divBdr>
        <w:top w:val="none" w:sz="0" w:space="0" w:color="auto"/>
        <w:left w:val="none" w:sz="0" w:space="0" w:color="auto"/>
        <w:bottom w:val="none" w:sz="0" w:space="0" w:color="auto"/>
        <w:right w:val="none" w:sz="0" w:space="0" w:color="auto"/>
      </w:divBdr>
    </w:div>
    <w:div w:id="208525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zkr.org/files/documents/covid19/20200327_CCNR_Economic_impact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75BFD-6C8E-4DB7-BE1B-7EE0B34E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6332</Characters>
  <Application>Microsoft Office Word</Application>
  <DocSecurity>0</DocSecurity>
  <Lines>52</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2020-07-02T13:23:00Z</dcterms:created>
  <dcterms:modified xsi:type="dcterms:W3CDTF">2020-07-03T12:37:00Z</dcterms:modified>
</cp:coreProperties>
</file>